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hint="eastAsia" w:eastAsia="黑体"/>
          <w:b/>
          <w:color w:val="auto"/>
          <w:sz w:val="72"/>
          <w:szCs w:val="72"/>
          <w:highlight w:val="none"/>
        </w:rPr>
        <w:t xml:space="preserve">无锡市政府采购</w:t>
      </w:r>
      <w:r/>
    </w:p>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hint="eastAsia" w:eastAsia="黑体"/>
          <w:b/>
          <w:color w:val="auto"/>
          <w:sz w:val="72"/>
          <w:szCs w:val="7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ind w:firstLine="643"/>
        <w:spacing w:line="504" w:lineRule="auto"/>
        <w:rPr>
          <w:rFonts w:hint="eastAsia" w:eastAsia="仿宋_GB2312"/>
          <w:b/>
          <w:color w:val="auto"/>
          <w:sz w:val="32"/>
          <w:szCs w:val="32"/>
          <w:highlight w:val="none"/>
          <w:lang w:eastAsia="zh-CN"/>
        </w:rPr>
      </w:pPr>
      <w:r>
        <w:rPr>
          <w:rFonts w:hint="eastAsia"/>
          <w:b/>
          <w:color w:val="auto"/>
          <w:sz w:val="32"/>
          <w:szCs w:val="32"/>
          <w:highlight w:val="none"/>
        </w:rPr>
        <w:t xml:space="preserve">政府采购编号</w:t>
      </w:r>
      <w:r>
        <w:rPr>
          <w:rFonts w:hint="eastAsia" w:eastAsia="仿宋_GB2312"/>
          <w:b/>
          <w:color w:val="auto"/>
          <w:sz w:val="32"/>
          <w:szCs w:val="32"/>
          <w:highlight w:val="none"/>
        </w:rPr>
        <w:t xml:space="preserve">：JSZC-320211-ZQYY-G2026-0003</w:t>
      </w:r>
      <w:r/>
    </w:p>
    <w:p>
      <w:pPr>
        <w:ind w:left="2894" w:hanging="2249"/>
        <w:spacing w:line="504"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采购项目名称：</w:t>
      </w:r>
      <w:r>
        <w:rPr>
          <w:rFonts w:hint="eastAsia"/>
          <w:b/>
          <w:color w:val="auto"/>
          <w:sz w:val="32"/>
          <w:szCs w:val="32"/>
          <w:highlight w:val="none"/>
          <w:lang w:eastAsia="zh-CN"/>
        </w:rPr>
        <w:t xml:space="preserve">东新河、蠡溪河等14条河道养护</w:t>
      </w:r>
      <w:r/>
    </w:p>
    <w:p>
      <w:pPr>
        <w:ind w:firstLine="643"/>
        <w:spacing w:line="504" w:lineRule="auto"/>
        <w:rPr>
          <w:rFonts w:hint="eastAsia" w:eastAsia="宋体"/>
          <w:b/>
          <w:color w:val="auto"/>
          <w:sz w:val="32"/>
          <w:szCs w:val="32"/>
          <w:highlight w:val="none"/>
          <w:lang w:eastAsia="zh-CN"/>
        </w:rPr>
      </w:pPr>
      <w:r>
        <w:rPr>
          <w:rFonts w:hint="eastAsia"/>
          <w:b/>
          <w:color w:val="auto"/>
          <w:sz w:val="32"/>
          <w:szCs w:val="32"/>
          <w:highlight w:val="none"/>
        </w:rPr>
        <w:t xml:space="preserve">采购人：</w:t>
      </w:r>
      <w:r>
        <w:rPr>
          <w:rFonts w:hint="eastAsia"/>
          <w:b/>
          <w:color w:val="auto"/>
          <w:sz w:val="32"/>
          <w:szCs w:val="32"/>
          <w:highlight w:val="none"/>
          <w:lang w:eastAsia="zh-CN"/>
        </w:rPr>
        <w:t xml:space="preserve">无锡市滨湖区蠡湖街道办事处</w:t>
      </w:r>
      <w:r/>
    </w:p>
    <w:p>
      <w:pPr>
        <w:ind w:firstLine="643"/>
        <w:spacing w:line="504" w:lineRule="auto"/>
        <w:rPr>
          <w:rFonts w:hint="eastAsia" w:eastAsia="宋体"/>
          <w:b/>
          <w:color w:val="auto"/>
          <w:sz w:val="24"/>
          <w:highlight w:val="none"/>
          <w:lang w:eastAsia="zh-CN"/>
        </w:rPr>
      </w:pPr>
      <w:r>
        <w:rPr>
          <w:rFonts w:hint="eastAsia"/>
          <w:b/>
          <w:color w:val="auto"/>
          <w:sz w:val="32"/>
          <w:szCs w:val="32"/>
          <w:highlight w:val="none"/>
        </w:rPr>
        <w:t xml:space="preserve">采购代理机构：</w:t>
      </w:r>
      <w:r>
        <w:rPr>
          <w:rFonts w:hint="eastAsia"/>
          <w:b/>
          <w:color w:val="auto"/>
          <w:sz w:val="32"/>
          <w:szCs w:val="32"/>
          <w:highlight w:val="none"/>
          <w:lang w:eastAsia="zh-CN"/>
        </w:rPr>
        <w:t xml:space="preserve">江苏筑祁园工程管理咨询有限公司</w:t>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rFonts w:hint="eastAsia"/>
          <w:b/>
          <w:color w:val="auto"/>
          <w:sz w:val="32"/>
          <w:szCs w:val="32"/>
          <w:highlight w:val="none"/>
        </w:rPr>
        <w:t xml:space="preserve">202</w:t>
      </w:r>
      <w:r>
        <w:rPr>
          <w:rFonts w:hint="eastAsia"/>
          <w:b/>
          <w:color w:val="auto"/>
          <w:sz w:val="32"/>
          <w:szCs w:val="32"/>
          <w:highlight w:val="none"/>
          <w:lang w:val="en-US" w:eastAsia="zh-CN"/>
        </w:rPr>
        <w:t xml:space="preserve">6</w:t>
      </w:r>
      <w:r>
        <w:rPr>
          <w:rFonts w:hint="eastAsia"/>
          <w:b/>
          <w:color w:val="auto"/>
          <w:sz w:val="32"/>
          <w:szCs w:val="32"/>
          <w:highlight w:val="none"/>
        </w:rPr>
        <w:t xml:space="preserve">年</w:t>
      </w:r>
      <w:r>
        <w:rPr>
          <w:rFonts w:hint="eastAsia"/>
          <w:b/>
          <w:color w:val="auto"/>
          <w:sz w:val="32"/>
          <w:szCs w:val="32"/>
          <w:highlight w:val="none"/>
          <w:lang w:val="en-US" w:eastAsia="zh-CN"/>
        </w:rPr>
        <w:t xml:space="preserve">7</w:t>
      </w:r>
      <w:r>
        <w:rPr>
          <w:rFonts w:hint="eastAsia"/>
          <w:b/>
          <w:color w:val="auto"/>
          <w:sz w:val="32"/>
          <w:szCs w:val="32"/>
          <w:highlight w:val="none"/>
        </w:rPr>
        <w:t xml:space="preserve">月</w:t>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第一部分   投标邀请 </w:t>
      </w:r>
      <w:r/>
    </w:p>
    <w:p>
      <w:pPr>
        <w:spacing w:line="1000" w:lineRule="exact"/>
        <w:rPr>
          <w:b/>
          <w:color w:val="auto"/>
          <w:sz w:val="30"/>
          <w:szCs w:val="30"/>
          <w:highlight w:val="none"/>
        </w:rPr>
      </w:pPr>
      <w:r>
        <w:rPr>
          <w:rFonts w:hint="eastAsia"/>
          <w:b/>
          <w:color w:val="auto"/>
          <w:sz w:val="30"/>
          <w:szCs w:val="30"/>
          <w:highlight w:val="none"/>
        </w:rPr>
        <w:t xml:space="preserve">第二部分   投标人须知 </w:t>
      </w:r>
      <w:r/>
    </w:p>
    <w:p>
      <w:pPr>
        <w:spacing w:line="1000" w:lineRule="exact"/>
        <w:rPr>
          <w:b/>
          <w:color w:val="auto"/>
          <w:sz w:val="30"/>
          <w:szCs w:val="30"/>
          <w:highlight w:val="none"/>
        </w:rPr>
      </w:pPr>
      <w:r>
        <w:rPr>
          <w:rFonts w:hint="eastAsia"/>
          <w:b/>
          <w:color w:val="auto"/>
          <w:sz w:val="30"/>
          <w:szCs w:val="30"/>
          <w:highlight w:val="none"/>
        </w:rPr>
        <w:t xml:space="preserve">第三部分   采购需求 </w:t>
      </w:r>
      <w:r/>
    </w:p>
    <w:p>
      <w:pPr>
        <w:spacing w:line="1000" w:lineRule="exact"/>
        <w:rPr>
          <w:b/>
          <w:color w:val="auto"/>
          <w:sz w:val="30"/>
          <w:szCs w:val="30"/>
          <w:highlight w:val="none"/>
        </w:rPr>
      </w:pPr>
      <w:r>
        <w:rPr>
          <w:rFonts w:hint="eastAsia"/>
          <w:b/>
          <w:color w:val="auto"/>
          <w:sz w:val="30"/>
          <w:szCs w:val="30"/>
          <w:highlight w:val="none"/>
        </w:rPr>
        <w:t xml:space="preserve">第四部分   合同书 </w:t>
      </w:r>
      <w:r/>
    </w:p>
    <w:p>
      <w:pPr>
        <w:spacing w:line="1000" w:lineRule="exact"/>
        <w:rPr>
          <w:b/>
          <w:color w:val="auto"/>
          <w:sz w:val="30"/>
          <w:szCs w:val="30"/>
          <w:highlight w:val="none"/>
        </w:rPr>
      </w:pPr>
      <w:r>
        <w:rPr>
          <w:rFonts w:hint="eastAsia"/>
          <w:b/>
          <w:color w:val="auto"/>
          <w:sz w:val="30"/>
          <w:szCs w:val="30"/>
          <w:highlight w:val="none"/>
        </w:rPr>
        <w:t xml:space="preserve">第五部分   附件 </w:t>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jc w:val="center"/>
        <w:widowControl/>
        <w:rPr>
          <w:rFonts w:ascii="黑体" w:eastAsia="黑体"/>
          <w:b/>
          <w:color w:val="auto"/>
          <w:sz w:val="44"/>
          <w:szCs w:val="44"/>
          <w:highlight w:val="none"/>
        </w:rPr>
      </w:pPr>
      <w:r>
        <w:rPr>
          <w:b/>
          <w:color w:val="auto"/>
          <w:sz w:val="24"/>
          <w:highlight w:val="none"/>
        </w:rPr>
        <w:br w:type="page" w:clear="all"/>
      </w:r>
      <w:r>
        <w:rPr>
          <w:rFonts w:hint="eastAsia" w:ascii="黑体" w:eastAsia="黑体"/>
          <w:b/>
          <w:color w:val="auto"/>
          <w:sz w:val="44"/>
          <w:szCs w:val="44"/>
          <w:highlight w:val="none"/>
        </w:rPr>
        <w:t xml:space="preserve">第一部分. 投标邀请</w:t>
      </w:r>
      <w:r/>
    </w:p>
    <w:tbl>
      <w:tblPr>
        <w:tblStyle w:val="691"/>
        <w:tblW w:w="10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17"/>
      </w:tblGrid>
      <w:tr>
        <w:trPr>
          <w:trHeight w:val="302"/>
        </w:trPr>
        <w:tc>
          <w:tcPr>
            <w:tcW w:w="139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序号</w:t>
            </w:r>
            <w:r/>
          </w:p>
        </w:tc>
        <w:tc>
          <w:tcPr>
            <w:tcW w:w="8617" w:type="dxa"/>
            <w:vAlign w:val="center"/>
            <w:textDirection w:val="lrTb"/>
            <w:noWrap w:val="false"/>
          </w:tcPr>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617" w:type="dxa"/>
            <w:vAlign w:val="center"/>
            <w:textDirection w:val="lrTb"/>
            <w:noWrap w:val="false"/>
          </w:tcPr>
          <w:p>
            <w:pPr>
              <w:ind w:left="1200" w:hanging="1200"/>
              <w:spacing w:line="360" w:lineRule="auto"/>
              <w:rPr>
                <w:rFonts w:hint="eastAsia" w:ascii="宋体" w:hAnsi="宋体" w:cs="宋体"/>
                <w:b/>
                <w:bCs/>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lang w:eastAsia="zh-CN"/>
              </w:rPr>
              <w:t xml:space="preserve">东新河、蠡溪河等14条河道养护</w:t>
            </w:r>
            <w:r>
              <w:rPr>
                <w:rFonts w:hint="eastAsia" w:ascii="宋体" w:hAnsi="宋体" w:cs="宋体"/>
                <w:color w:val="auto"/>
                <w:sz w:val="24"/>
                <w:highlight w:val="none"/>
              </w:rPr>
              <w:t xml:space="preserve"> </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采购编号：JSZC-320211-ZQYY-G2026-0003</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617" w:type="dxa"/>
            <w:vAlign w:val="center"/>
            <w:textDirection w:val="lrTb"/>
            <w:noWrap w:val="false"/>
          </w:tcPr>
          <w:p>
            <w:pPr>
              <w:spacing w:line="360" w:lineRule="auto"/>
              <w:widowControl/>
              <w:rPr>
                <w:rFonts w:hint="eastAsia" w:ascii="宋体" w:hAnsi="宋体" w:eastAsia="宋体" w:cs="宋体"/>
                <w:b/>
                <w:color w:val="auto"/>
                <w:sz w:val="24"/>
                <w:highlight w:val="none"/>
                <w:lang w:eastAsia="zh-CN"/>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无锡市滨湖区蠡湖街道办事处</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采购人地址：</w:t>
            </w:r>
            <w:r>
              <w:rPr>
                <w:rFonts w:hint="eastAsia" w:ascii="宋体" w:hAnsi="宋体"/>
                <w:color w:val="auto"/>
                <w:sz w:val="24"/>
                <w:highlight w:val="none"/>
                <w:lang w:eastAsia="zh-CN"/>
              </w:rPr>
              <w:t xml:space="preserve">蠡湖大道168号蠡湖大厦</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采购代理机构：</w:t>
            </w:r>
            <w:r>
              <w:rPr>
                <w:rFonts w:hint="eastAsia" w:ascii="宋体" w:hAnsi="宋体"/>
                <w:color w:val="auto"/>
                <w:sz w:val="24"/>
                <w:highlight w:val="none"/>
                <w:lang w:eastAsia="zh-CN"/>
              </w:rPr>
              <w:t xml:space="preserve">江苏筑祁园工程管理咨询有限公司</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采购机构地址：</w:t>
            </w:r>
            <w:r>
              <w:rPr>
                <w:rFonts w:hint="eastAsia" w:ascii="宋体" w:hAnsi="宋体"/>
                <w:bCs/>
                <w:color w:val="auto"/>
                <w:sz w:val="24"/>
                <w:highlight w:val="none"/>
                <w:lang w:eastAsia="zh-CN"/>
              </w:rPr>
              <w:t xml:space="preserve">无锡经济开发区太湖街道丰裕园二期商业街雪丰路60-3</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采购项目概况、要求：</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hAnsi="宋体"/>
                <w:sz w:val="24"/>
                <w:highlight w:val="none"/>
                <w:lang w:eastAsia="zh-CN"/>
              </w:rPr>
              <w:t xml:space="preserve">蠡湖街道东新河、蠡溪河等14条河道养护。针对东新河、庙泾浜、连大桥浜、丁昌桥浜、蠡溪河、王巷浜、美湖浜、陆典桥浜、西新河、线泾浜、徐祥浜、新胡田庄浜，实施水面、岸脚、岸坡垃圾清理，进行设备养护、河道日常巡查、水质维护确保达标；新城河、黄家边浜水质维护确保水质达标。</w:t>
            </w:r>
            <w:r>
              <w:rPr>
                <w:rFonts w:hint="eastAsia" w:ascii="宋体" w:hAnsi="宋体" w:cs="宋体"/>
                <w:color w:val="auto"/>
                <w:sz w:val="24"/>
                <w:highlight w:val="none"/>
              </w:rPr>
              <w:t xml:space="preserve">具体服务内容详见“第三部分 采购需求”</w:t>
            </w:r>
            <w:r>
              <w:rPr>
                <w:rFonts w:hint="eastAsia" w:ascii="宋体" w:hAnsi="宋体"/>
                <w:color w:val="auto"/>
                <w:sz w:val="24"/>
                <w:highlight w:val="none"/>
              </w:rPr>
              <w:t xml:space="preserve">；</w:t>
            </w:r>
            <w:r/>
          </w:p>
          <w:p>
            <w:pPr>
              <w:ind w:firstLine="480"/>
              <w:spacing w:line="360" w:lineRule="auto"/>
              <w:rPr>
                <w:rFonts w:hint="eastAsia" w:ascii="宋体" w:hAnsi="宋体" w:cs="宋体"/>
                <w:bCs/>
                <w:color w:val="auto"/>
                <w:sz w:val="24"/>
                <w:szCs w:val="22"/>
                <w:highlight w:val="none"/>
              </w:rPr>
            </w:pPr>
            <w:r>
              <w:rPr>
                <w:rFonts w:hint="eastAsia" w:ascii="宋体" w:hAnsi="宋体" w:cs="宋体"/>
                <w:bCs/>
                <w:color w:val="auto"/>
                <w:sz w:val="24"/>
                <w:highlight w:val="none"/>
              </w:rPr>
              <w:t xml:space="preserve">服务期：1年（具体以合同签订日期为准）；</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服务要求：</w:t>
            </w:r>
            <w:r>
              <w:rPr>
                <w:rFonts w:hint="eastAsia" w:ascii="宋体" w:hAnsi="宋体" w:cs="宋体"/>
                <w:bCs/>
                <w:color w:val="auto"/>
                <w:sz w:val="24"/>
                <w:highlight w:val="none"/>
                <w:lang w:val="en-US" w:eastAsia="zh-CN"/>
              </w:rPr>
              <w:t xml:space="preserve">满足采购人要求</w:t>
            </w:r>
            <w:r>
              <w:rPr>
                <w:rFonts w:hint="eastAsia" w:ascii="宋体" w:hAnsi="宋体" w:cs="宋体"/>
                <w:color w:val="auto"/>
                <w:highlight w:val="none"/>
              </w:rPr>
              <w:t xml:space="preserve">；</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本项目是否专门面向中小微企业：是。</w:t>
            </w:r>
            <w:r/>
          </w:p>
          <w:p>
            <w:pPr>
              <w:ind w:firstLine="480"/>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本项目标的所属行业：</w:t>
            </w:r>
            <w:r>
              <w:rPr>
                <w:rFonts w:hint="eastAsia" w:ascii="宋体" w:hAnsi="宋体" w:cs="宋体"/>
                <w:bCs/>
                <w:color w:val="auto"/>
                <w:sz w:val="24"/>
                <w:highlight w:val="none"/>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olor w:val="auto"/>
                <w:sz w:val="24"/>
                <w:highlight w:val="none"/>
              </w:rPr>
              <w:t xml:space="preserve">。</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8617" w:type="dxa"/>
            <w:vAlign w:val="center"/>
            <w:textDirection w:val="lrTb"/>
            <w:noWrap w:val="false"/>
          </w:tcPr>
          <w:p>
            <w:pPr>
              <w:spacing w:line="360" w:lineRule="auto"/>
              <w:tabs>
                <w:tab w:val="left" w:pos="0" w:leader="none"/>
              </w:tabs>
              <w:rPr>
                <w:color w:val="auto"/>
                <w:sz w:val="24"/>
                <w:highlight w:val="none"/>
              </w:rPr>
            </w:pPr>
            <w:r>
              <w:rPr>
                <w:rFonts w:hint="eastAsia"/>
                <w:color w:val="auto"/>
                <w:sz w:val="24"/>
                <w:highlight w:val="none"/>
              </w:rPr>
              <w:t xml:space="preserve">投标人资格要求：</w:t>
            </w:r>
            <w:r/>
          </w:p>
          <w:p>
            <w:pPr>
              <w:spacing w:line="360" w:lineRule="auto"/>
              <w:tabs>
                <w:tab w:val="left" w:pos="0" w:leader="none"/>
              </w:tabs>
              <w:rPr>
                <w:color w:val="auto"/>
                <w:sz w:val="24"/>
                <w:highlight w:val="none"/>
              </w:rPr>
            </w:pPr>
            <w:r>
              <w:rPr>
                <w:rFonts w:hint="eastAsia"/>
                <w:color w:val="auto"/>
                <w:sz w:val="24"/>
                <w:highlight w:val="none"/>
              </w:rPr>
              <w:t xml:space="preserve">1.具备《中华人民共和国政府采购法》第二十二条第一款规定的条件；</w:t>
            </w:r>
            <w:r/>
          </w:p>
          <w:p>
            <w:pPr>
              <w:spacing w:line="360" w:lineRule="auto"/>
              <w:tabs>
                <w:tab w:val="left" w:pos="0" w:leader="none"/>
              </w:tabs>
              <w:rPr>
                <w:color w:val="auto"/>
                <w:sz w:val="24"/>
                <w:highlight w:val="none"/>
              </w:rPr>
            </w:pPr>
            <w:r>
              <w:rPr>
                <w:rFonts w:hint="eastAsia"/>
                <w:color w:val="auto"/>
                <w:sz w:val="24"/>
                <w:highlight w:val="none"/>
              </w:rPr>
              <w:t xml:space="preserve">2.落实政府采购政策需满足的资格要求：本项目专门面向中小企业，投标人应为中/小/微企业或监狱企业或残疾人福利性单位；</w:t>
            </w:r>
            <w:r/>
          </w:p>
          <w:p>
            <w:pPr>
              <w:spacing w:line="360" w:lineRule="auto"/>
              <w:tabs>
                <w:tab w:val="left" w:pos="0" w:leader="none"/>
              </w:tabs>
              <w:rPr>
                <w:color w:val="auto"/>
                <w:sz w:val="24"/>
                <w:highlight w:val="none"/>
              </w:rPr>
            </w:pPr>
            <w:r>
              <w:rPr>
                <w:rFonts w:hint="eastAsia"/>
                <w:color w:val="auto"/>
                <w:sz w:val="24"/>
                <w:highlight w:val="none"/>
              </w:rPr>
              <w:t xml:space="preserve">3.未被“信用中国”网站（www.creditchina.gov.cn）、“信用江苏”网站（credit.jiangsu.gov.cn）、中国政府采购网（www.ccgp.gov.cn）列入失信被执行人、重大税收违法失信主体、政府采购严重违法失信行为记录名单；</w:t>
            </w:r>
            <w:r/>
          </w:p>
          <w:p>
            <w:pPr>
              <w:spacing w:line="360" w:lineRule="auto"/>
              <w:tabs>
                <w:tab w:val="left" w:pos="0" w:leader="none"/>
              </w:tabs>
              <w:rPr>
                <w:color w:val="auto"/>
                <w:sz w:val="24"/>
                <w:highlight w:val="none"/>
              </w:rPr>
            </w:pPr>
            <w:r>
              <w:rPr>
                <w:rFonts w:hint="eastAsia"/>
                <w:color w:val="auto"/>
                <w:sz w:val="24"/>
                <w:highlight w:val="none"/>
              </w:rPr>
              <w:t xml:space="preserve">4.具备采购人根据招标项目的特殊要求规定的以下特定资质：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sz w:val="24"/>
                <w:highlight w:val="none"/>
              </w:rPr>
              <w:t xml:space="preserve">投标人</w:t>
            </w:r>
            <w:r>
              <w:rPr>
                <w:rFonts w:hint="eastAsia" w:ascii="宋体" w:hAnsi="宋体" w:cs="宋体"/>
                <w:color w:val="auto"/>
                <w:sz w:val="24"/>
                <w:highlight w:val="none"/>
              </w:rPr>
              <w:t xml:space="preserve">应在中华人民共和国境内合法注册；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法定代表人授权委托人为本单位在职职工，投标人法定代表人授权代表具备与本企业签订的劳动合同，及《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p>
          <w:p>
            <w:pPr>
              <w:spacing w:line="360" w:lineRule="auto"/>
              <w:tabs>
                <w:tab w:val="left" w:pos="0" w:leader="none"/>
              </w:tabs>
              <w:rPr>
                <w:color w:val="auto"/>
                <w:sz w:val="24"/>
                <w:highlight w:val="none"/>
              </w:rPr>
            </w:pPr>
            <w:r>
              <w:rPr>
                <w:rFonts w:hint="eastAsia" w:ascii="宋体" w:hAnsi="宋体" w:cs="宋体"/>
                <w:color w:val="auto"/>
                <w:sz w:val="24"/>
                <w:highlight w:val="none"/>
                <w:lang w:val="en-US" w:eastAsia="zh-CN"/>
              </w:rPr>
              <w:t xml:space="preserve">（3）本项目不</w:t>
            </w:r>
            <w:r>
              <w:rPr>
                <w:rFonts w:hint="eastAsia" w:ascii="宋体" w:hAnsi="宋体" w:cs="宋体"/>
                <w:color w:val="auto"/>
                <w:sz w:val="24"/>
                <w:highlight w:val="none"/>
              </w:rPr>
              <w:t xml:space="preserve">接受联合体投标</w:t>
            </w:r>
            <w:r>
              <w:rPr>
                <w:rFonts w:hint="eastAsia"/>
                <w:color w:val="auto"/>
                <w:sz w:val="24"/>
                <w:highlight w:val="none"/>
              </w:rPr>
              <w:t xml:space="preserve">。</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8617" w:type="dxa"/>
            <w:vAlign w:val="center"/>
            <w:textDirection w:val="lrTb"/>
            <w:noWrap w:val="false"/>
          </w:tcPr>
          <w:p>
            <w:pPr>
              <w:jc w:val="left"/>
              <w:spacing w:line="360" w:lineRule="auto"/>
              <w:widowControl/>
              <w:rPr>
                <w:rFonts w:hAnsi="宋体"/>
                <w:bCs/>
                <w:color w:val="auto"/>
                <w:sz w:val="24"/>
                <w:highlight w:val="none"/>
              </w:rPr>
            </w:pPr>
            <w:r>
              <w:rPr>
                <w:rFonts w:hint="eastAsia" w:hAnsi="宋体"/>
                <w:bCs/>
                <w:color w:val="auto"/>
                <w:sz w:val="24"/>
                <w:highlight w:val="none"/>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w:t>
            </w:r>
            <w:r>
              <w:rPr>
                <w:color w:val="auto"/>
                <w:highlight w:val="none"/>
              </w:rPr>
              <w:t xml:space="preserve">取时</w:t>
            </w:r>
            <w:r>
              <w:rPr>
                <w:rFonts w:hint="eastAsia" w:hAnsi="宋体"/>
                <w:color w:val="auto"/>
                <w:sz w:val="24"/>
                <w:szCs w:val="24"/>
                <w:highlight w:val="none"/>
              </w:rPr>
              <w:t xml:space="preserve">间：自招标文件公告发布之日起5个工作日。</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招标文件获取地点：供应商登录苏采云http://jszfcg.jsczt.cn/进行获取。</w:t>
            </w:r>
            <w:r/>
          </w:p>
          <w:p>
            <w:pPr>
              <w:spacing w:line="360" w:lineRule="auto"/>
              <w:widowControl/>
              <w:rPr>
                <w:rFonts w:hint="eastAsia" w:ascii="宋体" w:hAnsi="宋体"/>
                <w:color w:val="auto"/>
                <w:sz w:val="24"/>
                <w:highlight w:val="none"/>
              </w:rPr>
            </w:pPr>
            <w:r>
              <w:rPr>
                <w:rFonts w:hint="eastAsia" w:hAnsi="宋体"/>
                <w:bCs/>
                <w:color w:val="auto"/>
                <w:sz w:val="24"/>
                <w:highlight w:val="none"/>
              </w:rPr>
              <w:t xml:space="preserve">售价：0元</w:t>
            </w:r>
            <w:r>
              <w:rPr>
                <w:rFonts w:hint="eastAsia" w:ascii="宋体" w:hAnsi="宋体" w:cs="宋体"/>
                <w:color w:val="auto"/>
                <w:sz w:val="24"/>
                <w:highlight w:val="none"/>
              </w:rPr>
              <w:t xml:space="preserve">。</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提疑截止时间：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日</w:t>
            </w:r>
            <w:r>
              <w:rPr>
                <w:rFonts w:hint="eastAsia" w:ascii="宋体" w:hAnsi="宋体"/>
                <w:color w:val="auto"/>
                <w:sz w:val="24"/>
                <w:highlight w:val="none"/>
              </w:rPr>
              <w:t xml:space="preserve">10时，以书面形式（含电子邮件）发送给采购代理机构。</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答疑时间：投标文件接收截止时间前15日，以书面形式（含电子邮件）回发给各投标人。</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hAnsi="宋体"/>
                <w:bCs/>
                <w:color w:val="auto"/>
                <w:sz w:val="24"/>
                <w:highlight w:val="none"/>
              </w:rPr>
              <w:t xml:space="preserve">本项目无需缴纳投标保证金。</w:t>
            </w:r>
            <w:r/>
          </w:p>
        </w:tc>
      </w:tr>
      <w:tr>
        <w:trPr>
          <w:trHeight w:val="90"/>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投标有效期：投标之日起</w:t>
            </w:r>
            <w:r>
              <w:rPr>
                <w:rFonts w:hint="eastAsia" w:ascii="宋体" w:hAnsi="宋体"/>
                <w:color w:val="auto"/>
                <w:sz w:val="24"/>
                <w:highlight w:val="none"/>
                <w:lang w:val="en-US" w:eastAsia="zh-CN"/>
              </w:rPr>
              <w:t xml:space="preserve">90</w:t>
            </w:r>
            <w:r>
              <w:rPr>
                <w:rFonts w:hint="eastAsia" w:ascii="宋体" w:hAnsi="宋体"/>
                <w:color w:val="auto"/>
                <w:sz w:val="24"/>
                <w:highlight w:val="none"/>
              </w:rPr>
              <w:t xml:space="preserve">天</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网上投标截止时间（开标时间）：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时30分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投标文件递交网址：江苏省政府采购（苏采云）平台中上传。</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1、投标截止时间后将无法上传或撤回、修改投标文件，请投标供应商谨慎处理。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2、请</w:t>
            </w:r>
            <w:r>
              <w:rPr>
                <w:rFonts w:hint="eastAsia"/>
                <w:color w:val="auto"/>
                <w:sz w:val="24"/>
                <w:highlight w:val="none"/>
              </w:rPr>
              <w:t xml:space="preserve">投标人</w:t>
            </w:r>
            <w:r>
              <w:rPr>
                <w:rFonts w:hint="eastAsia" w:ascii="宋体" w:hAnsi="宋体" w:cs="宋体"/>
                <w:color w:val="auto"/>
                <w:sz w:val="24"/>
                <w:highlight w:val="none"/>
              </w:rPr>
              <w:t xml:space="preserve">关注开标大厅的提示进行解密，解密时间为30分钟，供应商未解密但解密剩余时间为0秒后，视为</w:t>
            </w:r>
            <w:r>
              <w:rPr>
                <w:rFonts w:hint="eastAsia"/>
                <w:color w:val="auto"/>
                <w:sz w:val="24"/>
                <w:highlight w:val="none"/>
              </w:rPr>
              <w:t xml:space="preserve">投标人</w:t>
            </w:r>
            <w:r>
              <w:rPr>
                <w:rFonts w:hint="eastAsia" w:ascii="宋体" w:hAnsi="宋体" w:cs="宋体"/>
                <w:color w:val="auto"/>
                <w:sz w:val="24"/>
                <w:highlight w:val="none"/>
              </w:rPr>
              <w:t xml:space="preserve">放弃投标。</w:t>
            </w:r>
            <w:r/>
          </w:p>
          <w:p>
            <w:pPr>
              <w:spacing w:line="360" w:lineRule="auto"/>
              <w:widowControl/>
              <w:rPr>
                <w:rFonts w:hint="eastAsia" w:ascii="宋体" w:hAnsi="宋体"/>
                <w:color w:val="auto"/>
                <w:sz w:val="24"/>
                <w:highlight w:val="none"/>
              </w:rPr>
            </w:pPr>
            <w:r>
              <w:rPr>
                <w:rFonts w:hint="eastAsia" w:ascii="宋体" w:hAnsi="宋体" w:cs="宋体"/>
                <w:color w:val="auto"/>
                <w:sz w:val="24"/>
                <w:highlight w:val="none"/>
              </w:rPr>
              <w:t xml:space="preserve">3、本次投标无需制作纸质投标文件，但中标供应商在领取中标通知书时需提供纸质版投标文件二份（纸质投标文件应与苏采云系统中上传的投标文件一致并加盖公章），用于项目存档。</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时30分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开标地点：江苏省政府采购（苏采云）平台不见面开标大厅（推荐使用谷歌浏览器）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日开标结束后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评标地点：无锡市滨湖区公共资源交易中心三楼评标室（无锡市滨湖区隐秀路152号）</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1、本项目为不见面开标，开标当日，</w:t>
            </w:r>
            <w:r>
              <w:rPr>
                <w:rFonts w:hint="eastAsia"/>
                <w:color w:val="auto"/>
                <w:sz w:val="24"/>
                <w:highlight w:val="none"/>
              </w:rPr>
              <w:t xml:space="preserve">投标人</w:t>
            </w:r>
            <w:r>
              <w:rPr>
                <w:rFonts w:hint="eastAsia" w:ascii="宋体" w:hAnsi="宋体" w:cs="宋体"/>
                <w:color w:val="auto"/>
                <w:sz w:val="24"/>
                <w:highlight w:val="none"/>
              </w:rPr>
              <w:t xml:space="preserve">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2、投标文件的授权委托书中需明确授权委托人的联系方式（手机），否则如由于无法及时联系相关授权委托人而造成的一切后果由各</w:t>
            </w:r>
            <w:r>
              <w:rPr>
                <w:rFonts w:hint="eastAsia"/>
                <w:color w:val="auto"/>
                <w:sz w:val="24"/>
                <w:highlight w:val="none"/>
              </w:rPr>
              <w:t xml:space="preserve">投标人</w:t>
            </w:r>
            <w:r>
              <w:rPr>
                <w:rFonts w:hint="eastAsia" w:ascii="宋体" w:hAnsi="宋体" w:cs="宋体"/>
                <w:color w:val="auto"/>
                <w:sz w:val="24"/>
                <w:highlight w:val="none"/>
              </w:rPr>
              <w:t xml:space="preserve">自行承担。</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确定中标候选单位时间：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日评审结束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确定中标候选单位地点：</w:t>
            </w:r>
            <w:r>
              <w:rPr>
                <w:rFonts w:hint="eastAsia" w:ascii="宋体" w:hAnsi="宋体"/>
                <w:color w:val="auto"/>
                <w:sz w:val="24"/>
                <w:highlight w:val="none"/>
              </w:rPr>
              <w:t xml:space="preserve">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8617"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投标文件制作要求：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1.因本项目作为采用线上电子开评标（</w:t>
            </w:r>
            <w:r>
              <w:rPr>
                <w:rFonts w:hint="eastAsia" w:ascii="宋体" w:hAnsi="宋体" w:cs="宋体"/>
                <w:b/>
                <w:bCs/>
                <w:color w:val="auto"/>
                <w:sz w:val="24"/>
                <w:highlight w:val="none"/>
              </w:rPr>
              <w:t xml:space="preserve">网上不见面开标</w:t>
            </w:r>
            <w:r>
              <w:rPr>
                <w:rFonts w:hint="eastAsia" w:ascii="宋体" w:hAnsi="宋体" w:cs="宋体"/>
                <w:color w:val="auto"/>
                <w:sz w:val="24"/>
                <w:highlight w:val="none"/>
              </w:rPr>
              <w:t xml:space="preserve">），供应商在苏采云系统规定的时间内对投标文件进行解密。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2.中标供应商在收到中标通知书后与采购人签订合同前，必须提供与系统中电子投标文件一致的纸质投标文件一式二份。</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3.供应商请仔细阅读供应商注册流程和公开招标文件中关于电子开评标等相关事项，如有问题可发送邮件或移动电话咨询。</w:t>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4.本次采购采用“苏采云”系统进行采购活动，招标文件发布、报价、评审和中标结果发布全程电子化。</w:t>
            </w:r>
            <w:r/>
          </w:p>
        </w:tc>
      </w:tr>
      <w:tr>
        <w:trPr>
          <w:trHeight w:val="622"/>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项目预算：</w:t>
            </w:r>
            <w:r>
              <w:rPr>
                <w:rFonts w:hint="eastAsia" w:ascii="宋体" w:hAnsi="宋体" w:cs="宋体"/>
                <w:color w:val="auto"/>
                <w:sz w:val="24"/>
                <w:highlight w:val="none"/>
                <w:lang w:val="en-US" w:eastAsia="zh-CN"/>
              </w:rPr>
              <w:t xml:space="preserve">350</w:t>
            </w:r>
            <w:r>
              <w:rPr>
                <w:rFonts w:hint="eastAsia" w:ascii="宋体" w:hAnsi="宋体" w:cs="宋体"/>
                <w:color w:val="auto"/>
                <w:sz w:val="24"/>
                <w:highlight w:val="none"/>
              </w:rPr>
              <w:t xml:space="preserve">万元</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311.8647</w:t>
            </w:r>
            <w:r>
              <w:rPr>
                <w:rFonts w:hint="eastAsia" w:ascii="宋体" w:hAnsi="宋体" w:cs="宋体"/>
                <w:color w:val="auto"/>
                <w:sz w:val="24"/>
                <w:highlight w:val="none"/>
              </w:rPr>
              <w:t xml:space="preserve">万元</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8617" w:type="dxa"/>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无锡市滨湖区蠡湖街道办事处</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联系地址：</w:t>
            </w:r>
            <w:r>
              <w:rPr>
                <w:rFonts w:hint="eastAsia" w:ascii="宋体" w:hAnsi="宋体"/>
                <w:color w:val="auto"/>
                <w:sz w:val="24"/>
                <w:highlight w:val="none"/>
                <w:lang w:eastAsia="zh-CN"/>
              </w:rPr>
              <w:t xml:space="preserve">蠡湖大道168号蠡湖大厦</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联系人：朱梦雯</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shd w:val="clear" w:color="auto"/>
              </w:rPr>
              <w:t xml:space="preserve">0510-66002858</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eastAsia="zh-CN"/>
              </w:rPr>
              <w:t xml:space="preserve">江苏筑祁园工程管理咨询有限公司</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蔡培芹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0510-85881501</w:t>
            </w:r>
            <w:r>
              <w:rPr>
                <w:rFonts w:hint="eastAsia" w:ascii="宋体" w:hAnsi="宋体" w:cs="宋体"/>
                <w:color w:val="auto"/>
                <w:sz w:val="24"/>
                <w:highlight w:val="none"/>
              </w:rPr>
              <w:t xml:space="preserve"> </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无锡经济开发区太湖街道丰裕园二期商业街雪丰路60-3</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邮政编码：214000       </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电子邮件地址：</w:t>
            </w:r>
            <w:r>
              <w:rPr>
                <w:color w:val="auto"/>
                <w:highlight w:val="none"/>
              </w:rPr>
              <w:fldChar w:fldCharType="begin"/>
            </w:r>
            <w:r>
              <w:rPr>
                <w:color w:val="auto"/>
                <w:highlight w:val="none"/>
              </w:rPr>
              <w:instrText xml:space="preserve">HYPERLINK "mailto:487572551@qq.com"</w:instrText>
            </w:r>
            <w:r>
              <w:rPr>
                <w:color w:val="auto"/>
                <w:highlight w:val="none"/>
              </w:rPr>
              <w:fldChar w:fldCharType="separate"/>
            </w:r>
            <w:r>
              <w:rPr>
                <w:rFonts w:hint="eastAsia" w:ascii="宋体" w:hAnsi="宋体" w:cs="宋体"/>
                <w:color w:val="auto"/>
                <w:sz w:val="24"/>
                <w:highlight w:val="none"/>
                <w:lang w:eastAsia="zh-CN"/>
              </w:rPr>
              <w:t xml:space="preserve">865875050</w:t>
            </w:r>
            <w:r>
              <w:rPr>
                <w:rFonts w:hint="eastAsia" w:ascii="宋体" w:hAnsi="宋体" w:cs="宋体"/>
                <w:color w:val="auto"/>
                <w:sz w:val="24"/>
                <w:highlight w:val="none"/>
              </w:rPr>
              <w:t xml:space="preserve">@qq.com</w:t>
            </w:r>
            <w:r>
              <w:rPr>
                <w:color w:val="auto"/>
                <w:highlight w:val="none"/>
              </w:rPr>
              <w:fldChar w:fldCharType="end"/>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有关本次采购活动方面的问题，可来人、来函（传真）或电话联系。</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其他事项：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1.请有意参加本项目投标的投标供应商按以下流程进行操作：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（4）技术服务电话：0510-81827781（服务时间：工作日 9:00-11:30,13:00-17:00）</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cs="宋体"/>
                <w:color w:val="auto"/>
                <w:sz w:val="24"/>
                <w:highlight w:val="none"/>
              </w:rPr>
              <w:t xml:space="preserve">“苏采云”系统供应商操作手册</w:t>
            </w:r>
            <w:r>
              <w:rPr>
                <w:color w:val="auto"/>
                <w:highlight w:val="none"/>
              </w:rPr>
              <w:fldChar w:fldCharType="end"/>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技术支持QQ：孙先生：442456465；王先生：1476328133。</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5、供应商</w:t>
            </w:r>
            <w:r>
              <w:rPr>
                <w:rFonts w:hint="eastAsia" w:ascii="宋体" w:hAnsi="宋体" w:cs="宋体"/>
                <w:color w:val="auto"/>
                <w:sz w:val="24"/>
                <w:highlight w:val="none"/>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spacing w:line="360" w:lineRule="auto"/>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br w:type="page" w:clear="all"/>
      </w:r>
      <w:r>
        <w:rPr>
          <w:rFonts w:hint="eastAsia" w:ascii="黑体" w:hAnsi="黑体" w:eastAsia="黑体"/>
          <w:b/>
          <w:color w:val="auto"/>
          <w:sz w:val="44"/>
          <w:szCs w:val="44"/>
          <w:highlight w:val="none"/>
        </w:rPr>
        <w:t xml:space="preserve">第二部分. 投标人须知</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（一）遵循原则：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（二）招标文件：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1．招标文件包括文件目录所列全部内容，投标人应仔细阅读，并在投标文件中充分响应招标文件的所有要求。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2．招标文件中的“营业执照” 是指投标人的营业执照或相关部门的登记证明文件，“法定代表人”是指投标人的营业执照或相关部门的登记证明文件中的“法定代表人”或“负责人”。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3．投标人应下载招标文件及有关资料，按招标文件要求提交全部资料并对招标文件各项内容做出实质性响应，否则该投标人的投标无效。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4．招标文件一经售出、一律不退，且仅作为本次采购招标使用。</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（三）招标文件的解释：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1．投标人如有需要对招标文件要求澄清的问题，请以书面方式提出，并按“投标邀请”第6项规定的时间发送至指定地点，联系方式详见投标邀请第14项。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2．采购人、</w:t>
      </w:r>
      <w:r>
        <w:rPr>
          <w:rFonts w:hint="eastAsia" w:ascii="宋体" w:hAnsi="宋体"/>
          <w:color w:val="auto"/>
          <w:sz w:val="24"/>
          <w:highlight w:val="none"/>
          <w:lang w:eastAsia="zh-CN"/>
        </w:rPr>
        <w:t xml:space="preserve">江苏筑祁园工程管理咨询有限公司</w:t>
      </w:r>
      <w:r>
        <w:rPr>
          <w:rFonts w:hint="eastAsia" w:ascii="宋体" w:hAnsi="宋体"/>
          <w:color w:val="auto"/>
          <w:sz w:val="24"/>
          <w:highlight w:val="none"/>
        </w:rPr>
        <w:t xml:space="preserve">将按“投标邀请”第6项规定的时间对投标人针对招标文件书面提出的要求澄清的问题进行书面答疑。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3．本文件的最终解释权归采购人。</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（四）招标文件的补充或修正：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1．采购人或者采购代理机构可以对已发出的招标文件进行必要的澄清或者修改，澄清或者修改将在</w:t>
      </w:r>
      <w:r>
        <w:rPr>
          <w:rFonts w:hint="eastAsia" w:ascii="宋体" w:hAnsi="宋体"/>
          <w:b/>
          <w:bCs/>
          <w:color w:val="auto"/>
          <w:sz w:val="24"/>
          <w:highlight w:val="none"/>
        </w:rPr>
        <w:t xml:space="preserve">江苏政府采购网</w:t>
      </w:r>
      <w:r>
        <w:rPr>
          <w:rFonts w:hint="eastAsia" w:ascii="宋体" w:hAnsi="宋体"/>
          <w:color w:val="auto"/>
          <w:sz w:val="24"/>
          <w:highlight w:val="none"/>
        </w:rPr>
        <w:t xml:space="preserve">上发布澄清公告。澄清或者修改的内容为招标文件组成部分，与招标文件具有同等约束力。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并有必要的事实依据和法律依据（格式详见中国政府采购网《政府采购投标人质疑函范本》）。</w:t>
      </w:r>
      <w:r>
        <w:rPr>
          <w:rFonts w:hint="eastAsia" w:ascii="宋体" w:hAnsi="宋体"/>
          <w:color w:val="auto"/>
          <w:sz w:val="24"/>
          <w:szCs w:val="20"/>
          <w:highlight w:val="none"/>
          <w:lang w:eastAsia="zh-CN"/>
        </w:rPr>
        <w:t xml:space="preserve">江苏筑祁园工程管理咨询有限公司</w:t>
      </w:r>
      <w:r>
        <w:rPr>
          <w:rFonts w:hint="eastAsia" w:ascii="宋体" w:hAnsi="宋体"/>
          <w:color w:val="auto"/>
          <w:sz w:val="24"/>
          <w:szCs w:val="20"/>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color w:val="auto"/>
          <w:sz w:val="24"/>
          <w:szCs w:val="20"/>
          <w:highlight w:val="none"/>
          <w:lang w:eastAsia="zh-CN"/>
        </w:rPr>
        <w:t xml:space="preserve">江苏筑祁园工程管理咨询有限公司</w:t>
      </w:r>
      <w:r>
        <w:rPr>
          <w:rFonts w:hint="eastAsia" w:ascii="宋体" w:hAnsi="宋体"/>
          <w:color w:val="auto"/>
          <w:sz w:val="24"/>
          <w:szCs w:val="20"/>
          <w:highlight w:val="none"/>
        </w:rPr>
        <w:t xml:space="preserve">对无效质疑不予受理。</w:t>
      </w:r>
      <w:r/>
    </w:p>
    <w:p>
      <w:pPr>
        <w:ind w:firstLine="480"/>
        <w:spacing w:line="360" w:lineRule="auto"/>
        <w:rPr>
          <w:rFonts w:hint="eastAsia" w:ascii="宋体" w:hAnsi="宋体"/>
          <w:bCs/>
          <w:color w:val="auto"/>
          <w:sz w:val="24"/>
          <w:highlight w:val="none"/>
        </w:rPr>
        <w:outlineLvl w:val="0"/>
      </w:pPr>
      <w:r>
        <w:rPr>
          <w:rFonts w:hint="eastAsia" w:ascii="黑体" w:hAnsi="黑体" w:eastAsia="黑体" w:cs="黑体"/>
          <w:color w:val="auto"/>
          <w:sz w:val="24"/>
          <w:highlight w:val="none"/>
        </w:rPr>
        <w:t xml:space="preserve">（五）投标文件的组成：（相应内容扫描件上传至投标客户端，身份证应为正、反面）</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w:t>
      </w:r>
      <w:r>
        <w:rPr>
          <w:rFonts w:hint="eastAsia" w:ascii="宋体" w:hAnsi="宋体"/>
          <w:b/>
          <w:bCs/>
          <w:color w:val="auto"/>
          <w:sz w:val="24"/>
          <w:highlight w:val="none"/>
        </w:rPr>
        <w:t xml:space="preserve">格式见附件）</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资格、资信证明文件：</w:t>
      </w:r>
      <w:r/>
    </w:p>
    <w:p>
      <w:pPr>
        <w:numPr>
          <w:ilvl w:val="0"/>
          <w:numId w:val="4"/>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关于资格的声明函</w:t>
      </w:r>
      <w:r>
        <w:rPr>
          <w:rFonts w:hint="eastAsia" w:ascii="宋体" w:hAnsi="宋体"/>
          <w:b/>
          <w:bCs/>
          <w:color w:val="auto"/>
          <w:sz w:val="24"/>
          <w:highlight w:val="none"/>
        </w:rPr>
        <w:t xml:space="preserve">（格式见附件）</w:t>
      </w:r>
      <w:r>
        <w:rPr>
          <w:rFonts w:hint="eastAsia" w:ascii="宋体" w:hAnsi="宋体"/>
          <w:color w:val="auto"/>
          <w:sz w:val="24"/>
          <w:highlight w:val="none"/>
        </w:rPr>
        <w:t xml:space="preserve">；</w:t>
      </w:r>
      <w:r/>
    </w:p>
    <w:p>
      <w:pPr>
        <w:numPr>
          <w:ilvl w:val="0"/>
          <w:numId w:val="4"/>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投标人法定代表人授权委托书</w:t>
      </w:r>
      <w:r>
        <w:rPr>
          <w:rFonts w:hint="eastAsia" w:ascii="宋体" w:hAnsi="宋体"/>
          <w:b/>
          <w:bCs/>
          <w:color w:val="auto"/>
          <w:sz w:val="24"/>
          <w:highlight w:val="none"/>
        </w:rPr>
        <w:t xml:space="preserve">（格式见附件，法定代表人亲自参与投标需提供法定代表人身份证明书）</w:t>
      </w:r>
      <w:r>
        <w:rPr>
          <w:rFonts w:hint="eastAsia" w:ascii="宋体" w:hAnsi="宋体"/>
          <w:color w:val="auto"/>
          <w:sz w:val="24"/>
          <w:highlight w:val="none"/>
        </w:rPr>
        <w:t xml:space="preserve">；</w:t>
      </w:r>
      <w:r/>
    </w:p>
    <w:p>
      <w:pPr>
        <w:ind w:firstLine="480"/>
        <w:spacing w:line="360" w:lineRule="auto"/>
        <w:rPr>
          <w:color w:val="auto"/>
          <w:highlight w:val="none"/>
        </w:rPr>
      </w:pPr>
      <w:r>
        <w:rPr>
          <w:rFonts w:hint="eastAsia" w:ascii="宋体" w:hAnsi="宋体"/>
          <w:color w:val="auto"/>
          <w:sz w:val="24"/>
          <w:highlight w:val="none"/>
        </w:rPr>
        <w:t xml:space="preserve">（3）投标人的法定代表人身份证及被授权委托人的身份证原件扫描件；（身份证应为正、反面）</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olor w:val="auto"/>
          <w:sz w:val="24"/>
          <w:highlight w:val="none"/>
        </w:rPr>
        <w:t xml:space="preserve">（4）投标人有效期内营业执照原件扫描件并加盖公章或签电子公章；</w:t>
      </w:r>
      <w:r/>
    </w:p>
    <w:p>
      <w:pPr>
        <w:ind w:firstLine="480"/>
        <w:jc w:val="left"/>
        <w:spacing w:line="360" w:lineRule="auto"/>
        <w:shd w:val="clear" w:color="auto" w:fill="ffffff"/>
        <w:widowControl/>
        <w:rPr>
          <w:rFonts w:hint="eastAsia" w:ascii="宋体" w:hAnsi="宋体"/>
          <w:b/>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投标人近一年中任意一个月份（不含开标当月）的财务状况报告（资产负债表和利润表）或由会计师事务所出具的近两年中任意一年度的审计报告和所附已审财务报告原件扫描件并加盖公章或签电子公章；</w:t>
      </w:r>
      <w:r/>
    </w:p>
    <w:p>
      <w:pPr>
        <w:ind w:firstLine="480"/>
        <w:spacing w:line="360" w:lineRule="auto"/>
        <w:tabs>
          <w:tab w:val="left" w:pos="0" w:leader="none"/>
        </w:tabs>
        <w:rPr>
          <w:rFonts w:hint="eastAsia" w:ascii="宋体" w:hAnsi="宋体"/>
          <w:bCs/>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投标人近一年中任意一个月份（不含开标当月）的依法缴纳税收的相关材料（提供相关主管部门证明或银行代扣证明）扫描件并加盖公章或签电子公章；</w:t>
      </w:r>
      <w:r/>
    </w:p>
    <w:p>
      <w:pPr>
        <w:ind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）投标人近一年中任意一个月份（不含开标当月）的依法缴纳社会保障资金的相关材料（提供相关主管部门证明或银行代扣证明）扫描件并加盖公章或签电子公章；</w:t>
      </w:r>
      <w:r/>
    </w:p>
    <w:p>
      <w:pPr>
        <w:ind w:firstLine="480"/>
        <w:spacing w:line="360" w:lineRule="auto"/>
        <w:rPr>
          <w:rFonts w:ascii="宋体" w:cs="宋体"/>
          <w:color w:val="auto"/>
          <w:sz w:val="24"/>
          <w:highlight w:val="none"/>
        </w:rPr>
      </w:pPr>
      <w:r>
        <w:rPr>
          <w:rFonts w:hint="eastAsia" w:ascii="宋体" w:cs="宋体"/>
          <w:color w:val="auto"/>
          <w:sz w:val="24"/>
          <w:highlight w:val="none"/>
          <w:lang w:val="zh-CN"/>
        </w:rPr>
        <w:t xml:space="preserve">（</w:t>
      </w:r>
      <w:r>
        <w:rPr>
          <w:rFonts w:hint="eastAsia" w:ascii="宋体" w:cs="宋体"/>
          <w:color w:val="auto"/>
          <w:sz w:val="24"/>
          <w:highlight w:val="none"/>
          <w:lang w:val="en-US" w:eastAsia="zh-CN"/>
        </w:rPr>
        <w:t xml:space="preserve">8</w:t>
      </w:r>
      <w:r>
        <w:rPr>
          <w:rFonts w:hint="eastAsia" w:ascii="宋体" w:cs="宋体"/>
          <w:color w:val="auto"/>
          <w:sz w:val="24"/>
          <w:highlight w:val="none"/>
          <w:lang w:val="zh-CN"/>
        </w:rPr>
        <w:t xml:space="preserve">）法定代表人授权委托人为本单位在职职工，投标人法定代表人授权代表具备与本企业签订的劳动合同，及《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）承诺书（</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ascii="宋体" w:cs="宋体"/>
          <w:b/>
          <w:bCs/>
          <w:color w:val="auto"/>
          <w:sz w:val="24"/>
          <w:highlight w:val="none"/>
          <w:lang w:val="zh-CN"/>
        </w:rPr>
      </w:pPr>
      <w:r>
        <w:rPr>
          <w:rFonts w:hint="eastAsia" w:ascii="宋体" w:cs="宋体"/>
          <w:color w:val="auto"/>
          <w:sz w:val="24"/>
          <w:highlight w:val="none"/>
          <w:lang w:val="zh-CN"/>
        </w:rPr>
        <w:t xml:space="preserve">（</w:t>
      </w:r>
      <w:r>
        <w:rPr>
          <w:rFonts w:hint="eastAsia" w:ascii="宋体" w:cs="宋体"/>
          <w:color w:val="auto"/>
          <w:sz w:val="24"/>
          <w:highlight w:val="none"/>
        </w:rPr>
        <w:t xml:space="preserve">1</w:t>
      </w:r>
      <w:r>
        <w:rPr>
          <w:rFonts w:hint="eastAsia" w:ascii="宋体" w:cs="宋体"/>
          <w:color w:val="auto"/>
          <w:sz w:val="24"/>
          <w:highlight w:val="none"/>
          <w:lang w:val="en-US" w:eastAsia="zh-CN"/>
        </w:rPr>
        <w:t xml:space="preserve">0</w:t>
      </w:r>
      <w:r>
        <w:rPr>
          <w:rFonts w:hint="eastAsia" w:ascii="宋体" w:cs="宋体"/>
          <w:color w:val="auto"/>
          <w:sz w:val="24"/>
          <w:highlight w:val="none"/>
          <w:lang w:val="zh-CN"/>
        </w:rPr>
        <w:t xml:space="preserve">）《中小企业声明函》或《监狱企业证明文件》或《残疾人福利性单位声明函》</w:t>
      </w:r>
      <w:r>
        <w:rPr>
          <w:rFonts w:hint="eastAsia" w:ascii="宋体" w:cs="宋体"/>
          <w:b/>
          <w:bCs/>
          <w:color w:val="auto"/>
          <w:sz w:val="24"/>
          <w:highlight w:val="none"/>
          <w:lang w:val="zh-CN"/>
        </w:rPr>
        <w:t xml:space="preserve">（格式见附件）</w:t>
      </w:r>
      <w:r>
        <w:rPr>
          <w:rFonts w:hint="eastAsia" w:ascii="宋体" w:cs="宋体"/>
          <w:color w:val="auto"/>
          <w:sz w:val="24"/>
          <w:highlight w:val="none"/>
          <w:lang w:val="zh-CN"/>
        </w:rPr>
        <w:t xml:space="preserve">；</w:t>
      </w:r>
      <w:r/>
    </w:p>
    <w:p>
      <w:pPr>
        <w:ind w:firstLine="482"/>
        <w:spacing w:line="360" w:lineRule="auto"/>
        <w:rPr>
          <w:rFonts w:ascii="宋体" w:cs="宋体"/>
          <w:b/>
          <w:bCs/>
          <w:color w:val="auto"/>
          <w:sz w:val="24"/>
          <w:highlight w:val="none"/>
        </w:rPr>
      </w:pPr>
      <w:r>
        <w:rPr>
          <w:rFonts w:hint="eastAsia" w:ascii="宋体" w:cs="宋体"/>
          <w:b/>
          <w:bCs/>
          <w:color w:val="auto"/>
          <w:sz w:val="24"/>
          <w:highlight w:val="none"/>
          <w:lang w:val="zh-CN"/>
        </w:rPr>
        <w:t xml:space="preserve">注：</w:t>
      </w:r>
      <w:r>
        <w:rPr>
          <w:rFonts w:ascii="宋体" w:cs="宋体"/>
          <w:b w:val="0"/>
          <w:bCs w:val="0"/>
          <w:color w:val="auto"/>
          <w:sz w:val="24"/>
          <w:highlight w:val="none"/>
        </w:rPr>
        <w:t xml:space="preserve">1</w:t>
      </w:r>
      <w:r>
        <w:rPr>
          <w:rFonts w:hint="eastAsia" w:ascii="宋体" w:cs="宋体"/>
          <w:b/>
          <w:bCs/>
          <w:color w:val="auto"/>
          <w:sz w:val="24"/>
          <w:highlight w:val="none"/>
        </w:rPr>
        <w:t xml:space="preserve">、</w:t>
      </w:r>
      <w:r>
        <w:rPr>
          <w:rFonts w:hint="eastAsia" w:ascii="宋体" w:cs="宋体"/>
          <w:b/>
          <w:bCs/>
          <w:color w:val="auto"/>
          <w:sz w:val="24"/>
          <w:highlight w:val="none"/>
          <w:lang w:val="zh-CN"/>
        </w:rPr>
        <w:t xml:space="preserve">若法定代表人亲自参加</w:t>
      </w:r>
      <w:r>
        <w:rPr>
          <w:rFonts w:hint="eastAsia" w:ascii="宋体" w:cs="宋体"/>
          <w:b/>
          <w:bCs/>
          <w:color w:val="auto"/>
          <w:sz w:val="24"/>
          <w:highlight w:val="none"/>
        </w:rPr>
        <w:t xml:space="preserve">投标的，则无</w:t>
      </w:r>
      <w:r>
        <w:rPr>
          <w:rFonts w:hint="eastAsia" w:ascii="宋体" w:cs="宋体"/>
          <w:b/>
          <w:bCs/>
          <w:color w:val="auto"/>
          <w:sz w:val="24"/>
          <w:highlight w:val="none"/>
          <w:lang w:val="zh-CN"/>
        </w:rPr>
        <w:t xml:space="preserve">需提供法定代表人授权委托书及有关</w:t>
      </w:r>
      <w:r>
        <w:rPr>
          <w:rFonts w:hint="eastAsia" w:ascii="宋体" w:cs="宋体"/>
          <w:b/>
          <w:bCs/>
          <w:color w:val="auto"/>
          <w:sz w:val="24"/>
          <w:highlight w:val="none"/>
        </w:rPr>
        <w:t xml:space="preserve">被</w:t>
      </w:r>
      <w:r>
        <w:rPr>
          <w:rFonts w:hint="eastAsia" w:ascii="宋体" w:cs="宋体"/>
          <w:b/>
          <w:bCs/>
          <w:color w:val="auto"/>
          <w:sz w:val="24"/>
          <w:highlight w:val="none"/>
          <w:lang w:val="zh-CN"/>
        </w:rPr>
        <w:t xml:space="preserve">授权委托人的</w:t>
      </w:r>
      <w:r>
        <w:rPr>
          <w:rFonts w:hint="eastAsia" w:ascii="宋体" w:cs="宋体"/>
          <w:b/>
          <w:bCs/>
          <w:color w:val="auto"/>
          <w:sz w:val="24"/>
          <w:highlight w:val="none"/>
        </w:rPr>
        <w:t xml:space="preserve">相关资料</w:t>
      </w:r>
      <w:r>
        <w:rPr>
          <w:rFonts w:hint="eastAsia" w:ascii="宋体" w:cs="宋体"/>
          <w:b/>
          <w:bCs/>
          <w:color w:val="auto"/>
          <w:sz w:val="24"/>
          <w:highlight w:val="none"/>
          <w:lang w:val="zh-CN"/>
        </w:rPr>
        <w:t xml:space="preserve">；</w:t>
      </w:r>
      <w:r/>
    </w:p>
    <w:p>
      <w:pPr>
        <w:ind w:firstLine="482"/>
        <w:spacing w:line="360" w:lineRule="auto"/>
        <w:tabs>
          <w:tab w:val="left" w:pos="0" w:leader="none"/>
          <w:tab w:val="left" w:pos="945" w:leader="none"/>
          <w:tab w:val="left" w:pos="1155" w:leader="none"/>
          <w:tab w:val="left" w:pos="1288" w:leader="none"/>
        </w:tabs>
        <w:rPr>
          <w:rFonts w:hint="eastAsia" w:ascii="宋体" w:hAnsi="宋体"/>
          <w:bCs/>
          <w:color w:val="auto"/>
          <w:sz w:val="24"/>
          <w:highlight w:val="none"/>
        </w:rPr>
      </w:pPr>
      <w:r>
        <w:rPr>
          <w:rFonts w:hint="eastAsia" w:ascii="宋体" w:cs="宋体"/>
          <w:b w:val="0"/>
          <w:bCs w:val="0"/>
          <w:color w:val="auto"/>
          <w:sz w:val="24"/>
          <w:highlight w:val="none"/>
        </w:rPr>
        <w:t xml:space="preserve">2、</w:t>
      </w:r>
      <w:r>
        <w:rPr>
          <w:rFonts w:hint="eastAsia" w:ascii="宋体" w:cs="宋体"/>
          <w:b/>
          <w:bCs/>
          <w:color w:val="auto"/>
          <w:sz w:val="24"/>
          <w:highlight w:val="none"/>
          <w:lang w:val="zh-CN"/>
        </w:rPr>
        <w:t xml:space="preserve">提供的资料涉及时间的，如投标人成立时间迟于要求开始的时间，则时间要求为投标人成立时间至截止时间。</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开标一览表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s="宋体"/>
          <w:bCs/>
          <w:color w:val="auto"/>
          <w:sz w:val="24"/>
          <w:highlight w:val="none"/>
        </w:rPr>
        <w:t xml:space="preserve">投标偏离表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sz w:val="24"/>
          <w:highlight w:val="none"/>
        </w:rPr>
        <w:t xml:space="preserve">技术文件</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格式见附件</w:t>
      </w:r>
      <w:r>
        <w:rPr>
          <w:rFonts w:hint="eastAsia" w:ascii="宋体" w:hAnsi="宋体"/>
          <w:bCs/>
          <w:color w:val="000000"/>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评分标准中对应的其他所需证明材料（如有自行添加）</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要求采购人提供的配合（如有自拟并自行添加）</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其它（</w:t>
      </w:r>
      <w:r>
        <w:rPr>
          <w:rFonts w:hint="eastAsia" w:ascii="宋体" w:hAnsi="宋体"/>
          <w:b/>
          <w:bCs/>
          <w:color w:val="auto"/>
          <w:sz w:val="24"/>
          <w:highlight w:val="none"/>
        </w:rPr>
        <w:t xml:space="preserve">投标人认为有必要提供的声明和文件，如有自拟并自行添加</w:t>
      </w:r>
      <w:r>
        <w:rPr>
          <w:rFonts w:hint="eastAsia" w:ascii="宋体" w:hAnsi="宋体"/>
          <w:bCs/>
          <w:color w:val="auto"/>
          <w:sz w:val="24"/>
          <w:highlight w:val="none"/>
        </w:rPr>
        <w:t xml:space="preserve">）</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上述1-6项投标人必须按要求全部提供，否则投标文件无效。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（六）投标报价说明：  </w:t>
      </w:r>
      <w:r/>
    </w:p>
    <w:p>
      <w:pPr>
        <w:ind w:firstLine="480"/>
        <w:jc w:val="left"/>
        <w:spacing w:line="360" w:lineRule="auto"/>
        <w:shd w:val="clear" w:color="auto"/>
        <w:rPr>
          <w:rFonts w:hint="eastAsia" w:ascii="宋体" w:hAnsi="宋体"/>
          <w:bCs/>
          <w:color w:val="auto"/>
          <w:sz w:val="24"/>
          <w:szCs w:val="24"/>
          <w:highlight w:val="none"/>
          <w:u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本项目</w:t>
      </w:r>
      <w:r>
        <w:rPr>
          <w:rFonts w:hint="eastAsia" w:ascii="宋体" w:hAnsi="宋体"/>
          <w:bCs/>
          <w:color w:val="auto"/>
          <w:sz w:val="24"/>
          <w:szCs w:val="24"/>
          <w:highlight w:val="none"/>
          <w:u w:val="none"/>
        </w:rPr>
        <w:t xml:space="preserve">总报价应包括</w:t>
      </w:r>
      <w:r>
        <w:rPr>
          <w:rFonts w:hint="eastAsia" w:ascii="宋体" w:hAnsi="宋体"/>
          <w:bCs/>
          <w:color w:val="auto"/>
          <w:sz w:val="24"/>
          <w:szCs w:val="24"/>
          <w:highlight w:val="none"/>
          <w:u w:val="none"/>
          <w:lang w:val="en-US" w:eastAsia="zh-CN"/>
        </w:rPr>
        <w:t xml:space="preserve">但不限于人员工资、</w:t>
      </w:r>
      <w:r>
        <w:rPr>
          <w:rFonts w:hint="eastAsia" w:ascii="宋体" w:hAnsi="宋体"/>
          <w:bCs/>
          <w:color w:val="auto"/>
          <w:sz w:val="24"/>
          <w:szCs w:val="24"/>
          <w:highlight w:val="none"/>
          <w:u w:val="none"/>
        </w:rPr>
        <w:t xml:space="preserve">社保费用</w:t>
      </w:r>
      <w:r>
        <w:rPr>
          <w:rFonts w:hint="eastAsia" w:ascii="宋体" w:hAnsi="宋体"/>
          <w:bCs/>
          <w:color w:val="auto"/>
          <w:sz w:val="24"/>
          <w:szCs w:val="24"/>
          <w:highlight w:val="none"/>
          <w:u w:val="none"/>
          <w:lang w:val="en-US" w:eastAsia="zh-CN"/>
        </w:rPr>
        <w:t xml:space="preserve">、加班费、</w:t>
      </w:r>
      <w:r>
        <w:rPr>
          <w:rFonts w:hint="eastAsia" w:ascii="宋体" w:hAnsi="宋体" w:eastAsia="宋体" w:cs="Times New Roman"/>
          <w:bCs/>
          <w:color w:val="auto"/>
          <w:sz w:val="24"/>
          <w:szCs w:val="24"/>
          <w:highlight w:val="none"/>
          <w:u w:val="none"/>
          <w:lang w:val="en-US" w:eastAsia="zh-CN"/>
        </w:rPr>
        <w:t xml:space="preserve">意外保险</w:t>
      </w:r>
      <w:r>
        <w:rPr>
          <w:rFonts w:hint="eastAsia" w:ascii="宋体" w:hAnsi="宋体"/>
          <w:bCs/>
          <w:color w:val="auto"/>
          <w:sz w:val="24"/>
          <w:szCs w:val="24"/>
          <w:highlight w:val="none"/>
          <w:u w:val="none"/>
          <w:lang w:val="en-US" w:eastAsia="zh-CN"/>
        </w:rPr>
        <w:t xml:space="preserve">、管理费、税金等</w:t>
      </w:r>
      <w:r>
        <w:rPr>
          <w:rFonts w:hint="eastAsia" w:ascii="宋体" w:hAnsi="宋体"/>
          <w:bCs/>
          <w:color w:val="auto"/>
          <w:sz w:val="24"/>
          <w:szCs w:val="24"/>
          <w:highlight w:val="none"/>
          <w:u w:val="none"/>
        </w:rPr>
        <w:t xml:space="preserve">为完成招标文件规定的服务期内所</w:t>
      </w:r>
      <w:r>
        <w:rPr>
          <w:rFonts w:hint="eastAsia" w:ascii="宋体" w:hAnsi="宋体"/>
          <w:bCs/>
          <w:color w:val="auto"/>
          <w:sz w:val="24"/>
          <w:szCs w:val="24"/>
          <w:highlight w:val="none"/>
          <w:u w:val="none"/>
          <w:lang w:eastAsia="zh-CN"/>
        </w:rPr>
        <w:t xml:space="preserve">涉及</w:t>
      </w:r>
      <w:r>
        <w:rPr>
          <w:rFonts w:hint="eastAsia" w:ascii="宋体" w:hAnsi="宋体"/>
          <w:bCs/>
          <w:color w:val="auto"/>
          <w:sz w:val="24"/>
          <w:szCs w:val="24"/>
          <w:highlight w:val="none"/>
          <w:u w:val="none"/>
        </w:rPr>
        <w:t xml:space="preserve">的一切相关费用。投标人报价时应充分考虑服务期内所有可能影响到报价的因素，包括最低工资标准及社保基数的政策性调整、一旦投标结束最终中标，不予调整。</w:t>
      </w:r>
      <w:r/>
    </w:p>
    <w:p>
      <w:pPr>
        <w:ind w:firstLine="480"/>
        <w:spacing w:line="360" w:lineRule="auto"/>
        <w:shd w:val="clear" w:color="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2.投标</w:t>
      </w:r>
      <w:r>
        <w:rPr>
          <w:rFonts w:hint="eastAsia" w:ascii="宋体" w:hAnsi="宋体"/>
          <w:bCs/>
          <w:color w:val="auto"/>
          <w:sz w:val="24"/>
          <w:highlight w:val="none"/>
          <w:lang w:val="en-US" w:eastAsia="zh-CN"/>
        </w:rPr>
        <w:t xml:space="preserve">人</w:t>
      </w:r>
      <w:r>
        <w:rPr>
          <w:rFonts w:hint="eastAsia" w:ascii="宋体" w:hAnsi="宋体"/>
          <w:bCs/>
          <w:color w:val="auto"/>
          <w:sz w:val="24"/>
          <w:highlight w:val="none"/>
        </w:rPr>
        <w:t xml:space="preserve">应自行踏勘现场，充分考虑企业管理情况、市场风险等因素，认真测算成本，同时自行承担投标费用，凡未列费用，视为已包含在投标报价中。</w:t>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（七）投标文件的要求：</w:t>
      </w:r>
      <w:r/>
    </w:p>
    <w:p>
      <w:pPr>
        <w:ind w:firstLine="480"/>
        <w:spacing w:line="360" w:lineRule="auto"/>
        <w:shd w:val="clear" w:color="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1.所有文件、往来函件均应使用简体中文（规格、型号辅助符号除外）。</w:t>
      </w:r>
      <w:r/>
    </w:p>
    <w:p>
      <w:pPr>
        <w:ind w:firstLine="480"/>
        <w:spacing w:line="360" w:lineRule="auto"/>
        <w:shd w:val="clear" w:color="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3.投标人报价一律以人民币为报价结算货币，结算单位为“元”。</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4.投标文件格式部分，应由投标人按给定格式提供，不得更改。</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6.投标费用自理。</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（八） 网上投标：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pPr>
      <w:r>
        <w:rPr>
          <w:rFonts w:hint="eastAsia" w:ascii="宋体" w:hAnsi="宋体"/>
          <w:bCs/>
          <w:color w:val="000000"/>
          <w:sz w:val="24"/>
        </w:rPr>
        <w:t xml:space="preserve">7.投标供应商对要求提供的资格证明文件（如资质证书、资格证书）、技术资料（如白皮书、彩页、手册、检测报告等）扫描上传至投标系统。</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000000"/>
          <w:sz w:val="24"/>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（九）无效投标文件的确认：</w:t>
      </w:r>
      <w:r/>
    </w:p>
    <w:p>
      <w:pPr>
        <w:ind w:firstLine="480"/>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投标人有下列情况之一者，投标文件无效：</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未按规定在江苏省政府采购（苏采云）平台注册的；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电子投标文件未按规定时间上传的，纸质投标文件（如有）未按规定的期限、地点送达的；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电子投标文件未按招标文件要求签章的；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投标人未按招标文件要求解密的；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投标文件未按采购文件规定的内容和要求填写、制作的；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投标文件中有采购文件未允许提供的选择性内容的；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投标系统中不同投标人的MAC地址一致或标书制作工具客户端标识码一致的；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提供虚假材料的（包括工商营业执照、财务报表、资格证明文件、在偏离表中填报虚假参数等）；</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不具备采购文件中规定的资格要求或未按采购文件规定的要求提供资格、资信证明文件的；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不同投标供应商投标文件中的项目相关人员出现同一人的；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不同投标供应商的单位负责人为同一人或者存在直接控股、管理关系的；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投标文件商务标中同一方案有选择性报价且未声明以哪一个为准的；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投标文件报价出现前后不一致，投标供应商拒不确认修正后的报价的；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评标委员会按照本招标文件规定对投标人进行异常低价投标（响应）审查后，认为投标人不能证明其报价合理性的；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未通过初步资格性审查、投标文件资格性检查、 投标文件符合性检查的；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列入失信被执行人、重大税收违法失信主体、政府采购严重违法失信行为记录名单及其他不符合《中华人民共和国政府采购法》第二十二条规定条件的；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未按要求提供技术文件，技术文件编制粗糙、条理不清的；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不同投标供应商的委托代理人以及其他相关人员有在同一个单位缴纳社会保险的；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投标文件内容不全或不符合法律法规和采购文件中规定的其他实质性要求的。</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（十）开标、评标：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1.所有投标单位在招标文件规定的时间内解密各自投标文件。</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3.投标文件的审查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②大写金额和小写金额不一致的，以大写金额为准；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③单价金额小数点或者百分比有明显错位的，以开标一览表的总价为准，并修改单价；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④总价金额与按单价汇总金额不一致的，以单价金额计算结果为准。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（3）投标人未参加开标的，视同认可开标结果。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4</w:t>
      </w:r>
      <w:r>
        <w:rPr>
          <w:rFonts w:hint="eastAsia" w:ascii="宋体" w:hAnsi="宋体"/>
          <w:bCs/>
          <w:color w:val="000000"/>
          <w:sz w:val="24"/>
          <w:lang w:eastAsia="zh-CN"/>
        </w:rPr>
        <w:t xml:space="preserve">）</w:t>
      </w:r>
      <w:r>
        <w:rPr>
          <w:rFonts w:hint="eastAsia" w:ascii="宋体" w:hAnsi="宋体"/>
          <w:bCs/>
          <w:color w:val="000000"/>
          <w:sz w:val="24"/>
        </w:rPr>
        <w:t xml:space="preserve">异常低价投标（响应）审查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sz w:val="24"/>
        </w:rPr>
        <w:t xml:space="preserve">（一）</w:t>
      </w:r>
      <w:r>
        <w:rPr>
          <w:rFonts w:hint="eastAsia" w:ascii="宋体" w:hAnsi="宋体"/>
          <w:bCs/>
          <w:color w:val="000000"/>
          <w:sz w:val="24"/>
        </w:rPr>
        <w:t xml:space="preserve">根据《关于推动解决政府采购异常低价问题的通知》（财库〔2026〕2号）要求，政府采购评审中出现下列情形之</w:t>
      </w:r>
      <w:r>
        <w:rPr>
          <w:rFonts w:hint="eastAsia" w:ascii="宋体" w:hAnsi="宋体"/>
          <w:bCs/>
          <w:color w:val="000000"/>
          <w:sz w:val="24"/>
          <w:lang w:val="en-US" w:eastAsia="zh-CN"/>
        </w:rPr>
        <w:t xml:space="preserve">一</w:t>
      </w:r>
      <w:r>
        <w:rPr>
          <w:rFonts w:hint="eastAsia" w:ascii="宋体" w:hAnsi="宋体"/>
          <w:bCs/>
          <w:color w:val="000000"/>
          <w:sz w:val="24"/>
        </w:rPr>
        <w:t xml:space="preserve">的，评审委员会应当启动异常低价投标（响应）审查程序：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②投标（响应）报价低于通过符合性审查的次低报价供应商投标（响应）报价50%的，即投标（响应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③投标（响应）报价低于采购项目最高限价</w:t>
      </w:r>
      <w:r>
        <w:rPr>
          <w:rFonts w:hint="eastAsia" w:ascii="宋体" w:hAnsi="宋体"/>
          <w:bCs/>
          <w:color w:val="000000"/>
          <w:sz w:val="24"/>
          <w:highlight w:val="none"/>
          <w:lang w:val="en-US" w:eastAsia="zh-CN"/>
        </w:rPr>
        <w:t xml:space="preserve">65</w:t>
      </w:r>
      <w:r>
        <w:rPr>
          <w:rFonts w:hint="eastAsia" w:ascii="宋体" w:hAnsi="宋体"/>
          <w:bCs/>
          <w:color w:val="000000"/>
          <w:sz w:val="24"/>
          <w:highlight w:val="none"/>
        </w:rPr>
        <w:t xml:space="preserve">%的，即投标（响应）报价＜采购项目最高限价×</w:t>
      </w:r>
      <w:r>
        <w:rPr>
          <w:rFonts w:hint="eastAsia" w:ascii="宋体" w:hAnsi="宋体"/>
          <w:bCs/>
          <w:color w:val="000000"/>
          <w:sz w:val="24"/>
          <w:highlight w:val="none"/>
          <w:lang w:val="en-US" w:eastAsia="zh-CN"/>
        </w:rPr>
        <w:t xml:space="preserve">65</w:t>
      </w:r>
      <w:r>
        <w:rPr>
          <w:rFonts w:hint="eastAsia" w:ascii="宋体" w:hAnsi="宋体"/>
          <w:bCs/>
          <w:color w:val="000000"/>
          <w:sz w:val="24"/>
          <w:highlight w:val="none"/>
        </w:rPr>
        <w:t xml:space="preserve">%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二</w:t>
      </w:r>
      <w:r>
        <w:rPr>
          <w:rFonts w:hint="eastAsia" w:ascii="宋体" w:hAnsi="宋体"/>
          <w:bCs/>
          <w:color w:val="000000"/>
          <w:sz w:val="24"/>
          <w:lang w:eastAsia="zh-CN"/>
        </w:rPr>
        <w:t xml:space="preserve">）</w:t>
      </w:r>
      <w:r>
        <w:rPr>
          <w:rFonts w:hint="eastAsia" w:ascii="宋体" w:hAnsi="宋体"/>
          <w:bCs/>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525" w:leader="none"/>
          <w:tab w:val="left" w:pos="945" w:leader="none"/>
        </w:tabs>
        <w:rPr>
          <w:rFonts w:hint="eastAsia" w:ascii="宋体" w:hAnsi="宋体"/>
          <w:b/>
          <w:bCs w:val="0"/>
          <w:color w:val="auto"/>
          <w:sz w:val="24"/>
          <w:highlight w:val="none"/>
        </w:rPr>
      </w:pPr>
      <w:r>
        <w:rPr>
          <w:rFonts w:hint="eastAsia" w:ascii="宋体" w:hAnsi="宋体"/>
          <w:bCs/>
          <w:color w:val="000000"/>
          <w:sz w:val="24"/>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4．评标程序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评标工作由</w:t>
      </w:r>
      <w:r>
        <w:rPr>
          <w:rFonts w:hint="eastAsia" w:ascii="宋体" w:hAnsi="宋体"/>
          <w:sz w:val="24"/>
        </w:rPr>
        <w:t xml:space="preserve">代理公司</w:t>
      </w:r>
      <w:r>
        <w:rPr>
          <w:rFonts w:hint="eastAsia" w:ascii="宋体" w:hAnsi="宋体"/>
          <w:bCs/>
          <w:color w:val="000000"/>
          <w:sz w:val="24"/>
        </w:rPr>
        <w:t xml:space="preserve">负责组织，具体评标事务由依法组建的评标委员会负责。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（1）投标文件初审。初审分为资格性检查和符合性检查。</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000000"/>
          <w:sz w:val="24"/>
        </w:rPr>
        <w:t xml:space="preserve">A．资格性检查。采购</w:t>
      </w:r>
      <w:r>
        <w:rPr>
          <w:rFonts w:hint="eastAsia" w:ascii="宋体" w:hAnsi="宋体"/>
          <w:bCs/>
          <w:color w:val="000000"/>
          <w:sz w:val="24"/>
          <w:highlight w:val="none"/>
        </w:rPr>
        <w:t xml:space="preserve">人</w:t>
      </w:r>
      <w:r>
        <w:rPr>
          <w:rFonts w:hint="eastAsia" w:ascii="宋体" w:hAnsi="宋体"/>
          <w:bCs/>
          <w:color w:val="000000"/>
          <w:sz w:val="24"/>
          <w:highlight w:val="none"/>
          <w:lang w:val="en-US" w:eastAsia="zh-CN"/>
        </w:rPr>
        <w:t xml:space="preserve">或招标代理机构</w:t>
      </w:r>
      <w:r>
        <w:rPr>
          <w:rFonts w:hint="eastAsia" w:ascii="宋体" w:hAnsi="宋体"/>
          <w:bCs/>
          <w:color w:val="000000"/>
          <w:sz w:val="24"/>
          <w:highlight w:val="none"/>
        </w:rPr>
        <w:t xml:space="preserve">依据法律法规和招标文</w:t>
      </w:r>
      <w:r>
        <w:rPr>
          <w:rFonts w:hint="eastAsia" w:ascii="宋体" w:hAnsi="宋体"/>
          <w:bCs/>
          <w:color w:val="000000"/>
          <w:sz w:val="24"/>
        </w:rPr>
        <w:t xml:space="preserve">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ind w:firstLine="480"/>
        <w:jc w:val="cente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s="宋体"/>
          <w:b/>
          <w:color w:val="auto"/>
          <w:sz w:val="24"/>
          <w:highlight w:val="none"/>
        </w:rPr>
        <w:t xml:space="preserve">资格性审查表</w:t>
      </w:r>
      <w:r/>
    </w:p>
    <w:tbl>
      <w:tblPr>
        <w:tblStyle w:val="69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746"/>
        <w:gridCol w:w="5234"/>
      </w:tblGrid>
      <w:tr>
        <w:trPr>
          <w:trHeight w:val="564"/>
        </w:trPr>
        <w:tc>
          <w:tcPr>
            <w:tcW w:w="979"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gridSpan w:val="2"/>
            <w:tcW w:w="79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资格审查内容</w:t>
            </w:r>
            <w:r/>
          </w:p>
        </w:tc>
      </w:tr>
      <w:tr>
        <w:trPr>
          <w:trHeight w:val="519"/>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关于资格的声明函</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rHeight w:val="870"/>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具有独立承担民事责任能力的投标人营业执照或相关部门的登记证明文件扫描件</w:t>
            </w:r>
            <w:r/>
          </w:p>
        </w:tc>
      </w:tr>
      <w:tr>
        <w:trPr>
          <w:trHeight w:val="90"/>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cs="宋体"/>
                <w:bCs/>
                <w:color w:val="auto"/>
                <w:sz w:val="24"/>
                <w:highlight w:val="none"/>
              </w:rPr>
            </w:pPr>
            <w:r>
              <w:rPr>
                <w:rFonts w:hint="eastAsia" w:ascii="宋体" w:hAnsi="宋体" w:cs="宋体"/>
                <w:b/>
                <w:bCs/>
                <w:color w:val="auto"/>
                <w:sz w:val="24"/>
                <w:highlight w:val="none"/>
              </w:rPr>
              <w:t xml:space="preserve">法定代表人亲自参与投标的除外，格式见附件</w:t>
            </w:r>
            <w:r/>
          </w:p>
        </w:tc>
      </w:tr>
      <w:tr>
        <w:trPr>
          <w:trHeight w:val="644"/>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投标人法定代表人身份证扫描件</w:t>
            </w:r>
            <w:r/>
          </w:p>
        </w:tc>
        <w:tc>
          <w:tcPr>
            <w:tcW w:w="5234"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w:t>
            </w:r>
            <w:r/>
          </w:p>
        </w:tc>
      </w:tr>
      <w:tr>
        <w:trPr>
          <w:trHeight w:val="644"/>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身份证应为正、反面，法定代表人亲自参加投标的除外</w:t>
            </w:r>
            <w:r/>
          </w:p>
        </w:tc>
      </w:tr>
      <w:tr>
        <w:trPr>
          <w:trHeight w:val="78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color w:val="auto"/>
                <w:highlight w:val="none"/>
              </w:rPr>
            </w:pPr>
            <w:r>
              <w:rPr>
                <w:rFonts w:hint="eastAsia" w:ascii="宋体" w:hAnsi="宋体" w:cs="宋体"/>
                <w:bCs/>
                <w:color w:val="auto"/>
                <w:sz w:val="24"/>
                <w:highlight w:val="none"/>
              </w:rPr>
              <w:t xml:space="preserve">投标人近一年中任意一个月份（不含开标当月）的财务状况报告（资产负债表和利润表）或由会计师事务所出具的近两年中任意一个年度的审计报告和所附已审财务报告扫描件</w:t>
            </w:r>
            <w:r/>
          </w:p>
        </w:tc>
      </w:tr>
      <w:tr>
        <w:trPr>
          <w:trHeight w:val="951"/>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具有依法缴纳税收的良好记录</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投标人近一年中任意一个月份（不含开标当月）的依法缴纳税收的相关材料（提供相关主管部门证明或银行代扣证明）扫描件</w:t>
            </w:r>
            <w:r/>
          </w:p>
        </w:tc>
      </w:tr>
      <w:tr>
        <w:trPr>
          <w:trHeight w:val="943"/>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具有依法缴纳社会保障资金的良好记录</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投标人近一年中任意一个月份（不含开标当月）的依法缴纳社会保障资金的相关材料（提供相关主管部门证明或银行代扣证明）扫描件</w:t>
            </w:r>
            <w:r/>
          </w:p>
        </w:tc>
      </w:tr>
      <w:tr>
        <w:trPr>
          <w:trHeight w:val="943"/>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被授权委托人、项目负责人应具备与企业签订的劳动合同和由社保机构出具的本企业</w:t>
            </w:r>
            <w:r>
              <w:rPr>
                <w:rFonts w:hint="eastAsia" w:ascii="宋体" w:hAnsi="宋体" w:cs="宋体"/>
                <w:bCs/>
                <w:color w:val="auto"/>
                <w:sz w:val="24"/>
                <w:highlight w:val="none"/>
              </w:rPr>
              <w:t xml:space="preserve">近一年中任意一个月份（不含开标当月）</w:t>
            </w:r>
            <w:r>
              <w:rPr>
                <w:rFonts w:hint="eastAsia" w:ascii="宋体" w:hAnsi="宋体" w:cs="宋体"/>
                <w:color w:val="auto"/>
                <w:sz w:val="24"/>
                <w:highlight w:val="none"/>
              </w:rPr>
              <w:t xml:space="preserve">为其缴费证明</w:t>
            </w:r>
            <w:r/>
          </w:p>
        </w:tc>
        <w:tc>
          <w:tcPr>
            <w:tcW w:w="5234" w:type="dxa"/>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被授权委托人</w:t>
            </w:r>
            <w:r>
              <w:rPr>
                <w:rFonts w:hint="eastAsia" w:ascii="宋体" w:hAnsi="宋体" w:cs="宋体"/>
                <w:color w:val="auto"/>
                <w:sz w:val="24"/>
                <w:highlight w:val="none"/>
              </w:rPr>
              <w:t xml:space="preserve">、项目负责人</w:t>
            </w:r>
            <w:r>
              <w:rPr>
                <w:rFonts w:hint="eastAsia" w:ascii="宋体" w:hAnsi="宋体" w:cs="宋体"/>
                <w:bCs/>
                <w:color w:val="auto"/>
                <w:sz w:val="24"/>
                <w:highlight w:val="none"/>
              </w:rPr>
              <w:t xml:space="preserve">应具备与企业签订的劳动合同和由社保机构出具的本企业近一年中任意一个月份（不含开标当月）为其缴费证明扫描件；（法定代表人亲自参加投标的除外）</w:t>
            </w:r>
            <w:r/>
          </w:p>
        </w:tc>
      </w:tr>
      <w:tr>
        <w:trPr>
          <w:trHeight w:val="60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承诺书</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rHeight w:val="747"/>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为中小微企业/监狱、戒毒企业/残疾人福利企业</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中小微企业须符合中小微企业划分标准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《工信部联企业</w:t>
            </w:r>
            <w:r>
              <w:rPr>
                <w:rFonts w:hint="eastAsia" w:ascii="宋体" w:hAnsi="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规定，提供《中小企业声明函》，残疾人福利企业提供《残疾人福利性单位声明函》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格式详见格式），监狱企业由省级以上监狱管理局、戒毒管理局出具的属于监狱企业的证明文件</w:t>
            </w:r>
            <w:r/>
          </w:p>
        </w:tc>
      </w:tr>
      <w:tr>
        <w:trPr>
          <w:trHeight w:val="60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特定资格要求</w:t>
            </w:r>
            <w:r/>
          </w:p>
        </w:tc>
        <w:tc>
          <w:tcPr>
            <w:tcW w:w="5234"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olor w:val="auto"/>
                <w:sz w:val="24"/>
                <w:szCs w:val="24"/>
                <w:highlight w:val="none"/>
                <w:lang w:val="en-US" w:eastAsia="zh-CN"/>
              </w:rPr>
              <w:t xml:space="preserve">无</w:t>
            </w:r>
            <w:r/>
          </w:p>
        </w:tc>
      </w:tr>
      <w:tr>
        <w:trPr>
          <w:trHeight w:val="1599"/>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信用记录</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由网上直接查询，投标人无需提供证明材料。）</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857"/>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关于联合体投标</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本项目不接受联合体投标</w:t>
            </w:r>
            <w:r/>
          </w:p>
        </w:tc>
      </w:tr>
    </w:tbl>
    <w:p>
      <w:pP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特别提醒：资格审查不合格的投标供应商的投标文件不进入后续评审。</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符合性审查表</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商务符合性</w:t>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restart"/>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restart"/>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continue"/>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93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93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93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jc w:val="cente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auto"/>
          <w:highlight w:val="none"/>
        </w:rPr>
      </w:pPr>
      <w:r>
        <w:rPr>
          <w:rFonts w:hint="eastAsia" w:ascii="宋体" w:hAnsi="宋体"/>
          <w:bCs/>
          <w:color w:val="auto"/>
          <w:sz w:val="24"/>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5．评标方法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投标人通过初审的，方可进入比较与评价程序，本项目采用综合评分法。</w:t>
      </w:r>
      <w:r/>
    </w:p>
    <w:p>
      <w:pPr>
        <w:ind w:firstLine="480"/>
        <w:spacing w:line="360" w:lineRule="auto"/>
        <w:tabs>
          <w:tab w:val="left" w:pos="1365" w:leader="none"/>
        </w:tabs>
        <w:rPr>
          <w:rFonts w:hint="eastAsia" w:ascii="宋体" w:hAnsi="宋体"/>
          <w:bCs/>
          <w:color w:val="auto"/>
          <w:sz w:val="24"/>
          <w:highlight w:val="none"/>
        </w:rPr>
      </w:pPr>
      <w:r>
        <w:rPr>
          <w:rFonts w:hint="eastAsia" w:ascii="宋体" w:hAnsi="宋体"/>
          <w:bCs/>
          <w:color w:val="000000"/>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tabs>
          <w:tab w:val="left" w:pos="525"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bCs/>
          <w:color w:val="auto"/>
          <w:sz w:val="24"/>
          <w:highlight w:val="none"/>
        </w:rPr>
        <w:t xml:space="preserve">．</w:t>
      </w:r>
      <w:r>
        <w:rPr>
          <w:rFonts w:hint="eastAsia" w:ascii="宋体" w:hAnsi="宋体"/>
          <w:color w:val="auto"/>
          <w:sz w:val="24"/>
          <w:highlight w:val="none"/>
        </w:rPr>
        <w:t xml:space="preserve">评分细则</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（一）评分项目及分值</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1、投标报价                               </w:t>
      </w:r>
      <w:r>
        <w:rPr>
          <w:rFonts w:hint="eastAsia" w:ascii="宋体" w:hAnsi="宋体"/>
          <w:b/>
          <w:color w:val="auto"/>
          <w:sz w:val="24"/>
          <w:highlight w:val="none"/>
          <w:lang w:val="en-US" w:eastAsia="zh-CN"/>
        </w:rPr>
        <w:t xml:space="preserve">23</w:t>
      </w:r>
      <w:r>
        <w:rPr>
          <w:rFonts w:hint="eastAsia" w:ascii="宋体" w:hAnsi="宋体"/>
          <w:b/>
          <w:color w:val="auto"/>
          <w:sz w:val="24"/>
          <w:highlight w:val="none"/>
        </w:rPr>
        <w:t xml:space="preserve">分</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eastAsia="宋体" w:cs="宋体"/>
          <w:b/>
          <w:bCs/>
          <w:color w:val="000000"/>
          <w:sz w:val="24"/>
          <w:szCs w:val="24"/>
        </w:rPr>
        <w:t xml:space="preserve">投标供应商评价</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22</w:t>
      </w:r>
      <w:r>
        <w:rPr>
          <w:rFonts w:hint="eastAsia" w:ascii="宋体" w:hAnsi="宋体"/>
          <w:b/>
          <w:color w:val="auto"/>
          <w:sz w:val="24"/>
          <w:highlight w:val="none"/>
        </w:rPr>
        <w:t xml:space="preserve">分</w:t>
      </w:r>
      <w:r/>
    </w:p>
    <w:p>
      <w:pPr>
        <w:ind w:firstLine="482"/>
        <w:spacing w:line="360" w:lineRule="auto"/>
        <w:rPr>
          <w:rFonts w:hint="eastAsia" w:ascii="仿宋" w:hAnsi="仿宋" w:eastAsia="仿宋" w:cs="仿宋"/>
          <w:b/>
          <w:bCs/>
          <w:color w:val="auto"/>
          <w:sz w:val="24"/>
          <w:highlight w:val="none"/>
        </w:rPr>
      </w:pPr>
      <w:r>
        <w:rPr>
          <w:rFonts w:hint="eastAsia" w:ascii="宋体" w:hAnsi="宋体"/>
          <w:b/>
          <w:color w:val="auto"/>
          <w:sz w:val="24"/>
          <w:highlight w:val="none"/>
        </w:rPr>
        <w:t xml:space="preserve">3、技术方案                              </w:t>
      </w:r>
      <w:r>
        <w:rPr>
          <w:rFonts w:hint="eastAsia" w:ascii="宋体" w:hAnsi="宋体"/>
          <w:b/>
          <w:color w:val="auto"/>
          <w:sz w:val="24"/>
          <w:highlight w:val="none"/>
          <w:lang w:val="en-US" w:eastAsia="zh-CN"/>
        </w:rPr>
        <w:t xml:space="preserve"> 55</w:t>
      </w:r>
      <w:r>
        <w:rPr>
          <w:rFonts w:hint="eastAsia" w:ascii="宋体" w:hAnsi="宋体"/>
          <w:b/>
          <w:color w:val="auto"/>
          <w:sz w:val="24"/>
          <w:highlight w:val="none"/>
        </w:rPr>
        <w:t xml:space="preserve">分</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（二）各项目评分标准</w:t>
      </w:r>
      <w:r/>
    </w:p>
    <w:p>
      <w:pPr>
        <w:pStyle w:val="934"/>
        <w:ind w:left="0" w:firstLine="361"/>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1、投标报价（</w:t>
      </w:r>
      <w:r>
        <w:rPr>
          <w:rFonts w:hint="eastAsia" w:ascii="宋体" w:hAnsi="宋体" w:cs="宋体"/>
          <w:b/>
          <w:bCs/>
          <w:color w:val="auto"/>
          <w:sz w:val="24"/>
          <w:highlight w:val="none"/>
          <w:lang w:val="en-US" w:eastAsia="zh-CN"/>
        </w:rPr>
        <w:t xml:space="preserve">23</w:t>
      </w:r>
      <w:r>
        <w:rPr>
          <w:rFonts w:hint="eastAsia" w:ascii="宋体" w:hAnsi="宋体" w:eastAsia="宋体" w:cs="宋体"/>
          <w:b/>
          <w:bCs/>
          <w:color w:val="auto"/>
          <w:sz w:val="24"/>
          <w:highlight w:val="none"/>
        </w:rPr>
        <w:t xml:space="preserve">分）</w:t>
      </w:r>
      <w:r/>
    </w:p>
    <w:p>
      <w:pPr>
        <w:ind w:left="0" w:firstLine="3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价格分统一采用低价优先法计算，即满足采购文件要求且报价最低的供应商的价格为评标基准价，其价格分为满分。其他供应商的价格分统一按照下列公式计算：</w:t>
      </w:r>
      <w:r/>
    </w:p>
    <w:p>
      <w:pPr>
        <w:ind w:left="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投标报价得分=（评标基准价/投标报价）×</w:t>
      </w:r>
      <w:r>
        <w:rPr>
          <w:rFonts w:hint="eastAsia" w:ascii="宋体" w:hAnsi="宋体" w:eastAsia="宋体" w:cs="宋体"/>
          <w:color w:val="auto"/>
          <w:sz w:val="24"/>
          <w:highlight w:val="none"/>
        </w:rPr>
        <w:t xml:space="preserve">价格权值×100</w:t>
      </w:r>
      <w:r/>
    </w:p>
    <w:p>
      <w:pPr>
        <w:ind w:left="0" w:firstLine="36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小微型企业价格扣除：本项目专门面向中小/小微企业的项目不做价格扣除</w:t>
      </w:r>
      <w:r/>
    </w:p>
    <w:p>
      <w:pPr>
        <w:ind w:left="0" w:firstLine="361"/>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2、投标供应商评价（</w:t>
      </w:r>
      <w:r>
        <w:rPr>
          <w:rFonts w:hint="eastAsia" w:ascii="宋体" w:hAnsi="宋体" w:cs="宋体"/>
          <w:b/>
          <w:bCs/>
          <w:color w:val="auto"/>
          <w:sz w:val="24"/>
          <w:highlight w:val="none"/>
          <w:lang w:val="en-US" w:eastAsia="zh-CN"/>
        </w:rPr>
        <w:t xml:space="preserve">22</w:t>
      </w:r>
      <w:r>
        <w:rPr>
          <w:rFonts w:hint="eastAsia" w:ascii="宋体" w:hAnsi="宋体" w:eastAsia="宋体" w:cs="宋体"/>
          <w:b/>
          <w:bCs/>
          <w:color w:val="auto"/>
          <w:sz w:val="24"/>
          <w:highlight w:val="none"/>
        </w:rPr>
        <w:t xml:space="preserve">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1）企业业绩（</w:t>
      </w: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供应商</w:t>
      </w:r>
      <w:r>
        <w:rPr>
          <w:rFonts w:hint="eastAsia" w:ascii="宋体" w:hAnsi="宋体" w:eastAsia="宋体" w:cs="宋体"/>
          <w:b w:val="0"/>
          <w:bCs/>
          <w:color w:val="auto"/>
          <w:sz w:val="24"/>
          <w:highlight w:val="none"/>
        </w:rPr>
        <w:t xml:space="preserve">自202</w:t>
      </w: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年1月1日以来</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以合同签订日期为准</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承</w:t>
      </w:r>
      <w:r>
        <w:rPr>
          <w:rFonts w:hint="eastAsia" w:ascii="宋体" w:hAnsi="宋体" w:eastAsia="宋体" w:cs="宋体"/>
          <w:b w:val="0"/>
          <w:bCs/>
          <w:color w:val="auto"/>
          <w:sz w:val="24"/>
          <w:highlight w:val="none"/>
          <w:lang w:val="en-US" w:eastAsia="zh-CN"/>
        </w:rPr>
        <w:t xml:space="preserve">接的类似</w:t>
      </w:r>
      <w:r>
        <w:rPr>
          <w:rFonts w:hint="eastAsia" w:ascii="宋体" w:hAnsi="宋体" w:eastAsia="宋体" w:cs="宋体"/>
          <w:b w:val="0"/>
          <w:bCs/>
          <w:color w:val="auto"/>
          <w:sz w:val="24"/>
          <w:highlight w:val="none"/>
        </w:rPr>
        <w:t xml:space="preserve">项目</w:t>
      </w:r>
      <w:r>
        <w:rPr>
          <w:rFonts w:hint="eastAsia" w:ascii="宋体" w:hAnsi="宋体" w:eastAsia="宋体" w:cs="宋体"/>
          <w:b w:val="0"/>
          <w:bCs/>
          <w:color w:val="auto"/>
          <w:sz w:val="24"/>
          <w:highlight w:val="none"/>
          <w:lang w:val="en-US" w:eastAsia="zh-CN"/>
        </w:rPr>
        <w:t xml:space="preserve">的</w:t>
      </w:r>
      <w:r>
        <w:rPr>
          <w:rFonts w:hint="eastAsia" w:ascii="宋体" w:hAnsi="宋体" w:eastAsia="宋体" w:cs="宋体"/>
          <w:b w:val="0"/>
          <w:bCs/>
          <w:color w:val="auto"/>
          <w:sz w:val="24"/>
          <w:highlight w:val="none"/>
        </w:rPr>
        <w:t xml:space="preserve">业绩，有一个得</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分，最高得</w:t>
      </w: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分</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投标时</w:t>
      </w:r>
      <w:r>
        <w:rPr>
          <w:rFonts w:hint="eastAsia" w:ascii="宋体" w:hAnsi="宋体" w:eastAsia="宋体" w:cs="宋体"/>
          <w:b w:val="0"/>
          <w:bCs/>
          <w:color w:val="auto"/>
          <w:sz w:val="24"/>
          <w:highlight w:val="none"/>
          <w:lang w:eastAsia="zh-CN"/>
        </w:rPr>
        <w:t xml:space="preserve">提供</w:t>
      </w:r>
      <w:r>
        <w:rPr>
          <w:rFonts w:hint="eastAsia" w:ascii="宋体" w:hAnsi="宋体" w:eastAsia="宋体" w:cs="宋体"/>
          <w:b w:val="0"/>
          <w:bCs/>
          <w:color w:val="auto"/>
          <w:sz w:val="24"/>
          <w:highlight w:val="none"/>
        </w:rPr>
        <w:t xml:space="preserve">有效合同</w:t>
      </w:r>
      <w:r>
        <w:rPr>
          <w:rFonts w:hint="eastAsia" w:ascii="宋体" w:hAnsi="宋体" w:eastAsia="宋体" w:cs="宋体"/>
          <w:b w:val="0"/>
          <w:bCs/>
          <w:color w:val="auto"/>
          <w:sz w:val="24"/>
          <w:highlight w:val="none"/>
          <w:lang w:eastAsia="zh-CN"/>
        </w:rPr>
        <w:t xml:space="preserve">原件扫描件并加盖电子签章放入响应文件</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否则不得分。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2）人员配备（</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①</w:t>
      </w:r>
      <w:r>
        <w:rPr>
          <w:rFonts w:hint="eastAsia" w:ascii="宋体" w:hAnsi="宋体" w:eastAsia="宋体" w:cs="宋体"/>
          <w:b w:val="0"/>
          <w:bCs/>
          <w:color w:val="auto"/>
          <w:sz w:val="24"/>
          <w:highlight w:val="none"/>
          <w:lang w:val="en-US" w:eastAsia="zh-CN"/>
        </w:rPr>
        <w:t xml:space="preserve">项目组成员</w:t>
      </w:r>
      <w:r>
        <w:rPr>
          <w:rFonts w:hint="eastAsia" w:ascii="宋体" w:hAnsi="宋体" w:eastAsia="宋体" w:cs="宋体"/>
          <w:b w:val="0"/>
          <w:bCs/>
          <w:color w:val="auto"/>
          <w:sz w:val="24"/>
          <w:highlight w:val="none"/>
          <w:lang w:val="zh-CN"/>
        </w:rPr>
        <w:t xml:space="preserve">（项目负责人除外）</w:t>
      </w:r>
      <w:r>
        <w:rPr>
          <w:rFonts w:hint="eastAsia" w:ascii="宋体" w:hAnsi="宋体" w:eastAsia="宋体" w:cs="宋体"/>
          <w:b w:val="0"/>
          <w:bCs/>
          <w:color w:val="auto"/>
          <w:sz w:val="24"/>
          <w:highlight w:val="none"/>
          <w:lang w:val="en-US" w:eastAsia="zh-CN"/>
        </w:rPr>
        <w:t xml:space="preserve">中配备环保中级工程师及以上职称的有一个得1分，最高得</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分</w:t>
      </w:r>
      <w:r>
        <w:rPr>
          <w:rFonts w:hint="eastAsia" w:ascii="宋体" w:hAnsi="宋体" w:eastAsia="宋体" w:cs="宋体"/>
          <w:b w:val="0"/>
          <w:bCs/>
          <w:color w:val="auto"/>
          <w:sz w:val="24"/>
          <w:highlight w:val="none"/>
        </w:rPr>
        <w:t xml:space="preserve">。</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②</w:t>
      </w:r>
      <w:r>
        <w:rPr>
          <w:rFonts w:hint="eastAsia" w:ascii="宋体" w:hAnsi="宋体" w:eastAsia="宋体" w:cs="宋体"/>
          <w:b w:val="0"/>
          <w:bCs/>
          <w:color w:val="auto"/>
          <w:sz w:val="24"/>
          <w:highlight w:val="none"/>
          <w:lang w:val="zh-CN"/>
        </w:rPr>
        <w:t xml:space="preserve">本项目配备作业人员（项目负责人除外）</w:t>
      </w:r>
      <w:r>
        <w:rPr>
          <w:rFonts w:hint="eastAsia" w:ascii="宋体" w:hAnsi="宋体" w:eastAsia="宋体" w:cs="宋体"/>
          <w:b w:val="0"/>
          <w:bCs/>
          <w:color w:val="auto"/>
          <w:sz w:val="24"/>
          <w:highlight w:val="none"/>
        </w:rPr>
        <w:t xml:space="preserve">具有</w:t>
      </w:r>
      <w:r>
        <w:rPr>
          <w:rFonts w:hint="eastAsia" w:ascii="宋体" w:hAnsi="宋体" w:eastAsia="宋体" w:cs="宋体"/>
          <w:b w:val="0"/>
          <w:bCs/>
          <w:color w:val="auto"/>
          <w:sz w:val="24"/>
          <w:highlight w:val="none"/>
          <w:lang w:val="en-US" w:eastAsia="zh-CN"/>
        </w:rPr>
        <w:t xml:space="preserve">特种作业人员操作证（电工证）</w:t>
      </w:r>
      <w:r>
        <w:rPr>
          <w:rFonts w:hint="eastAsia" w:ascii="宋体" w:hAnsi="宋体" w:eastAsia="宋体" w:cs="宋体"/>
          <w:b w:val="0"/>
          <w:bCs/>
          <w:color w:val="auto"/>
          <w:sz w:val="24"/>
          <w:highlight w:val="none"/>
        </w:rPr>
        <w:t xml:space="preserve">并在有效期内的，每配备一名得</w:t>
      </w: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分，最多2分。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③</w:t>
      </w:r>
      <w:r>
        <w:rPr>
          <w:rFonts w:hint="eastAsia" w:ascii="宋体" w:hAnsi="宋体" w:eastAsia="宋体" w:cs="宋体"/>
          <w:b w:val="0"/>
          <w:bCs/>
          <w:color w:val="auto"/>
          <w:sz w:val="24"/>
          <w:highlight w:val="none"/>
          <w:lang w:val="zh-CN" w:eastAsia="zh-CN"/>
        </w:rPr>
        <w:t xml:space="preserve">本项</w:t>
      </w:r>
      <w:r>
        <w:rPr>
          <w:rFonts w:hint="eastAsia" w:ascii="宋体" w:hAnsi="宋体" w:eastAsia="宋体" w:cs="宋体"/>
          <w:b w:val="0"/>
          <w:bCs/>
          <w:color w:val="auto"/>
          <w:sz w:val="24"/>
          <w:highlight w:val="none"/>
          <w:lang w:val="zh-CN"/>
        </w:rPr>
        <w:t xml:space="preserve">目</w:t>
      </w:r>
      <w:r>
        <w:rPr>
          <w:rFonts w:hint="eastAsia" w:ascii="宋体" w:hAnsi="宋体" w:eastAsia="宋体" w:cs="宋体"/>
          <w:b w:val="0"/>
          <w:bCs/>
          <w:color w:val="auto"/>
          <w:sz w:val="24"/>
          <w:highlight w:val="none"/>
          <w:lang w:val="en-US" w:eastAsia="zh-CN"/>
        </w:rPr>
        <w:t xml:space="preserve">的项目负责人具有</w:t>
      </w:r>
      <w:r>
        <w:rPr>
          <w:rFonts w:hint="eastAsia" w:ascii="宋体" w:hAnsi="宋体" w:cs="宋体"/>
          <w:color w:val="000000"/>
          <w:sz w:val="24"/>
          <w:szCs w:val="24"/>
          <w:lang w:val="en-US" w:eastAsia="zh-CN"/>
        </w:rPr>
        <w:t xml:space="preserve">大专</w:t>
      </w:r>
      <w:r>
        <w:rPr>
          <w:rFonts w:hint="eastAsia" w:ascii="宋体" w:hAnsi="宋体" w:cs="宋体"/>
          <w:color w:val="000000"/>
          <w:sz w:val="24"/>
          <w:szCs w:val="24"/>
        </w:rPr>
        <w:t xml:space="preserve">及以上学历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环境工程专业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的，</w:t>
      </w:r>
      <w:r>
        <w:rPr>
          <w:rFonts w:hint="eastAsia" w:ascii="宋体" w:hAnsi="宋体" w:eastAsia="宋体" w:cs="宋体"/>
          <w:b w:val="0"/>
          <w:bCs/>
          <w:color w:val="auto"/>
          <w:sz w:val="24"/>
          <w:highlight w:val="none"/>
          <w:lang w:val="en-US" w:eastAsia="zh-CN"/>
        </w:rPr>
        <w:t xml:space="preserve">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；有</w:t>
      </w:r>
      <w:r>
        <w:rPr>
          <w:rFonts w:hint="eastAsia" w:ascii="宋体" w:hAnsi="宋体" w:eastAsia="宋体" w:cs="宋体"/>
          <w:b w:val="0"/>
          <w:bCs/>
          <w:color w:val="auto"/>
          <w:sz w:val="24"/>
          <w:highlight w:val="none"/>
          <w:lang w:val="en-US" w:eastAsia="zh-CN"/>
        </w:rPr>
        <w:t xml:space="preserve">高级工程师及以上职称的，得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；有类似业绩，得2分；</w:t>
      </w:r>
      <w:r>
        <w:rPr>
          <w:rFonts w:hint="eastAsia" w:ascii="宋体" w:hAnsi="宋体" w:eastAsia="宋体" w:cs="宋体"/>
          <w:b w:val="0"/>
          <w:bCs/>
          <w:color w:val="auto"/>
          <w:sz w:val="24"/>
          <w:highlight w:val="none"/>
          <w:lang w:val="en-US" w:eastAsia="zh-CN"/>
        </w:rPr>
        <w:t xml:space="preserve">最高得</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lang w:val="en-US" w:eastAsia="zh-CN"/>
        </w:rPr>
        <w:t xml:space="preserve">分。</w:t>
      </w:r>
      <w:r/>
    </w:p>
    <w:p>
      <w:pPr>
        <w:ind w:left="0" w:firstLine="361"/>
        <w:spacing w:line="360" w:lineRule="auto"/>
        <w:tabs>
          <w:tab w:val="left" w:pos="945" w:leader="none"/>
          <w:tab w:val="left" w:pos="115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color w:val="auto"/>
          <w:sz w:val="24"/>
          <w:highlight w:val="none"/>
        </w:rPr>
        <w:t xml:space="preserve">注：上述所有人员不重复计分。投标时提供上述人员相关证书或公证件、法定的社保收缴部门出具由投标供应商为其依法缴纳的近三个月（不含投标当月）中任意一个月的社会保障资金的相关材料（如投标供应商为新成立企业，社保缴费月数不足三个月，则提供自公司成立以来至最近连续月（不含投标当月）中任意一个月的依法缴纳社会保障资金的相关材料（提供相关主管部门证明或银行代扣证明）），扫描件加盖公章上传至投标文件。未按要求提供资料的不得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3）船只配备（</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供应商为本项目配备作业船只的，每配备1条作业船只得1分，最多得</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分，投标时提供作业船采购发票扫描件（若为租赁的提供租赁合同扫描件）并加盖供应商电子签章，否则不得分。</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eastAsia="zh-CN"/>
        </w:rPr>
        <w:t xml:space="preserve">企业荣誉（</w:t>
      </w:r>
      <w:r>
        <w:rPr>
          <w:rFonts w:hint="eastAsia" w:ascii="宋体" w:hAnsi="宋体" w:eastAsia="宋体" w:cs="宋体"/>
          <w:b w:val="0"/>
          <w:bCs/>
          <w:color w:val="auto"/>
          <w:sz w:val="24"/>
          <w:highlight w:val="none"/>
          <w:lang w:val="en-US" w:eastAsia="zh-CN"/>
        </w:rPr>
        <w:t xml:space="preserve">3分</w:t>
      </w:r>
      <w:r>
        <w:rPr>
          <w:rFonts w:hint="eastAsia" w:ascii="宋体" w:hAnsi="宋体" w:eastAsia="宋体" w:cs="宋体"/>
          <w:b w:val="0"/>
          <w:bCs/>
          <w:color w:val="auto"/>
          <w:sz w:val="24"/>
          <w:highlight w:val="none"/>
          <w:lang w:eastAsia="zh-CN"/>
        </w:rPr>
        <w:t xml:space="preserve">）</w:t>
      </w:r>
      <w:r/>
    </w:p>
    <w:p>
      <w:pPr>
        <w:ind w:left="0" w:firstLine="360"/>
        <w:spacing w:line="360" w:lineRule="auto"/>
        <w:tabs>
          <w:tab w:val="left" w:pos="945" w:leader="none"/>
          <w:tab w:val="left" w:pos="115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eastAsia="zh-CN"/>
        </w:rPr>
        <w:t xml:space="preserve">供应商</w:t>
      </w:r>
      <w:r>
        <w:rPr>
          <w:rFonts w:hint="eastAsia" w:ascii="宋体" w:hAnsi="宋体" w:eastAsia="宋体" w:cs="宋体"/>
          <w:b w:val="0"/>
          <w:bCs/>
          <w:color w:val="auto"/>
          <w:sz w:val="24"/>
          <w:highlight w:val="none"/>
        </w:rPr>
        <w:t xml:space="preserve">自202</w:t>
      </w: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年1月1日以来</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以</w:t>
      </w:r>
      <w:r>
        <w:rPr>
          <w:rFonts w:hint="eastAsia" w:ascii="宋体" w:hAnsi="宋体" w:eastAsia="宋体" w:cs="宋体"/>
          <w:b w:val="0"/>
          <w:bCs/>
          <w:color w:val="auto"/>
          <w:sz w:val="24"/>
          <w:highlight w:val="none"/>
          <w:lang w:eastAsia="zh-CN"/>
        </w:rPr>
        <w:t xml:space="preserve">证书颁发</w:t>
      </w:r>
      <w:r>
        <w:rPr>
          <w:rFonts w:hint="eastAsia" w:ascii="宋体" w:hAnsi="宋体" w:eastAsia="宋体" w:cs="宋体"/>
          <w:b w:val="0"/>
          <w:bCs/>
          <w:color w:val="auto"/>
          <w:sz w:val="24"/>
          <w:highlight w:val="none"/>
        </w:rPr>
        <w:t xml:space="preserve">日期为准</w:t>
      </w:r>
      <w:r>
        <w:rPr>
          <w:rFonts w:hint="eastAsia" w:ascii="宋体" w:hAnsi="宋体" w:eastAsia="宋体" w:cs="宋体"/>
          <w:b w:val="0"/>
          <w:bCs/>
          <w:color w:val="auto"/>
          <w:sz w:val="24"/>
          <w:highlight w:val="none"/>
          <w:lang w:eastAsia="zh-CN"/>
        </w:rPr>
        <w:t xml:space="preserve">）实施服务的河道</w:t>
      </w:r>
      <w:r>
        <w:rPr>
          <w:rFonts w:hint="eastAsia" w:ascii="宋体" w:hAnsi="宋体" w:eastAsia="宋体" w:cs="宋体"/>
          <w:b w:val="0"/>
          <w:bCs/>
          <w:color w:val="auto"/>
          <w:sz w:val="24"/>
          <w:highlight w:val="none"/>
        </w:rPr>
        <w:t xml:space="preserve">获得过</w:t>
      </w:r>
      <w:r>
        <w:rPr>
          <w:rFonts w:hint="eastAsia" w:ascii="宋体" w:hAnsi="宋体" w:eastAsia="宋体" w:cs="宋体"/>
          <w:b w:val="0"/>
          <w:bCs/>
          <w:color w:val="auto"/>
          <w:sz w:val="24"/>
          <w:highlight w:val="none"/>
          <w:lang w:eastAsia="zh-CN"/>
        </w:rPr>
        <w:t xml:space="preserve">区级</w:t>
      </w:r>
      <w:r>
        <w:rPr>
          <w:rFonts w:hint="eastAsia" w:ascii="宋体" w:hAnsi="宋体" w:eastAsia="宋体" w:cs="宋体"/>
          <w:b w:val="0"/>
          <w:bCs/>
          <w:color w:val="auto"/>
          <w:sz w:val="24"/>
          <w:highlight w:val="none"/>
        </w:rPr>
        <w:t xml:space="preserve">及以上</w:t>
      </w:r>
      <w:r>
        <w:rPr>
          <w:rFonts w:hint="eastAsia" w:ascii="宋体" w:hAnsi="宋体" w:eastAsia="宋体" w:cs="宋体"/>
          <w:b w:val="0"/>
          <w:bCs/>
          <w:color w:val="auto"/>
          <w:sz w:val="24"/>
          <w:highlight w:val="none"/>
          <w:lang w:eastAsia="zh-CN"/>
        </w:rPr>
        <w:t xml:space="preserve">政府或</w:t>
      </w:r>
      <w:r>
        <w:rPr>
          <w:rFonts w:hint="eastAsia" w:ascii="宋体" w:hAnsi="宋体" w:eastAsia="宋体" w:cs="宋体"/>
          <w:b w:val="0"/>
          <w:bCs/>
          <w:color w:val="auto"/>
          <w:sz w:val="24"/>
          <w:highlight w:val="none"/>
        </w:rPr>
        <w:t xml:space="preserve">行业主管部门颁发的荣誉奖励的，得</w:t>
      </w: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分</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最高得3分。投标时</w:t>
      </w:r>
      <w:r>
        <w:rPr>
          <w:rFonts w:hint="eastAsia" w:ascii="宋体" w:hAnsi="宋体" w:eastAsia="宋体" w:cs="宋体"/>
          <w:b w:val="0"/>
          <w:bCs/>
          <w:color w:val="auto"/>
          <w:sz w:val="24"/>
          <w:highlight w:val="none"/>
          <w:lang w:eastAsia="zh-CN"/>
        </w:rPr>
        <w:t xml:space="preserve">提供证书原件扫描件并加盖电子签章放入响应文件</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否则不得分。</w:t>
      </w:r>
      <w:r/>
    </w:p>
    <w:p>
      <w:pPr>
        <w:ind w:left="0" w:firstLine="361"/>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3、技术方案（</w:t>
      </w:r>
      <w:r>
        <w:rPr>
          <w:rFonts w:hint="eastAsia" w:ascii="宋体" w:hAnsi="宋体" w:cs="宋体"/>
          <w:b/>
          <w:bCs/>
          <w:color w:val="auto"/>
          <w:sz w:val="24"/>
          <w:highlight w:val="none"/>
          <w:lang w:val="en-US" w:eastAsia="zh-CN"/>
        </w:rPr>
        <w:t xml:space="preserve">55</w:t>
      </w:r>
      <w:r>
        <w:rPr>
          <w:rFonts w:hint="eastAsia" w:ascii="宋体" w:hAnsi="宋体" w:eastAsia="宋体" w:cs="宋体"/>
          <w:b/>
          <w:bCs/>
          <w:color w:val="auto"/>
          <w:sz w:val="24"/>
          <w:highlight w:val="none"/>
        </w:rPr>
        <w:t xml:space="preserve">分）</w:t>
      </w:r>
      <w:r/>
    </w:p>
    <w:p>
      <w:pPr>
        <w:ind w:left="0" w:firstLine="361"/>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水体生态维护实施方案</w:t>
      </w:r>
      <w:r>
        <w:rPr>
          <w:rFonts w:hint="eastAsia"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lang w:val="en-US" w:eastAsia="zh-CN"/>
        </w:rPr>
        <w:t xml:space="preserve">分）</w:t>
      </w:r>
      <w:r/>
    </w:p>
    <w:p>
      <w:pPr>
        <w:ind w:left="0" w:firstLine="36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项目现状调研分析</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分）：供应商</w:t>
      </w:r>
      <w:r>
        <w:rPr>
          <w:rFonts w:hint="eastAsia" w:ascii="宋体" w:hAnsi="宋体" w:eastAsia="宋体" w:cs="宋体"/>
          <w:b w:val="0"/>
          <w:bCs w:val="0"/>
          <w:color w:val="auto"/>
          <w:sz w:val="24"/>
          <w:highlight w:val="none"/>
        </w:rPr>
        <w:t xml:space="preserve">对现状了解详细，分析全面，对</w:t>
      </w:r>
      <w:r>
        <w:rPr>
          <w:rFonts w:hint="eastAsia" w:ascii="宋体" w:hAnsi="宋体" w:eastAsia="宋体" w:cs="宋体"/>
          <w:b w:val="0"/>
          <w:bCs w:val="0"/>
          <w:color w:val="auto"/>
          <w:sz w:val="24"/>
          <w:highlight w:val="none"/>
          <w:lang w:eastAsia="zh-CN"/>
        </w:rPr>
        <w:t xml:space="preserve">河道运行维护目标</w:t>
      </w:r>
      <w:r>
        <w:rPr>
          <w:rFonts w:hint="eastAsia" w:ascii="宋体" w:hAnsi="宋体" w:eastAsia="宋体" w:cs="宋体"/>
          <w:b w:val="0"/>
          <w:bCs w:val="0"/>
          <w:color w:val="auto"/>
          <w:sz w:val="24"/>
          <w:highlight w:val="none"/>
        </w:rPr>
        <w:t xml:space="preserve">任务理解准确，得</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分；投标人对现状掌握度、分析完整性及对</w:t>
      </w:r>
      <w:r>
        <w:rPr>
          <w:rFonts w:hint="eastAsia" w:ascii="宋体" w:hAnsi="宋体" w:eastAsia="宋体" w:cs="宋体"/>
          <w:b w:val="0"/>
          <w:bCs w:val="0"/>
          <w:color w:val="auto"/>
          <w:sz w:val="24"/>
          <w:highlight w:val="none"/>
          <w:lang w:eastAsia="zh-CN"/>
        </w:rPr>
        <w:t xml:space="preserve">运行维护</w:t>
      </w:r>
      <w:r>
        <w:rPr>
          <w:rFonts w:hint="eastAsia" w:ascii="宋体" w:hAnsi="宋体" w:eastAsia="宋体" w:cs="宋体"/>
          <w:b w:val="0"/>
          <w:bCs w:val="0"/>
          <w:color w:val="auto"/>
          <w:sz w:val="24"/>
          <w:highlight w:val="none"/>
        </w:rPr>
        <w:t xml:space="preserve">目标理解度尚可的，得</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分；分析不详细、理解不完全的，得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分；内容未进行阐述或不满足采购需求的，该项不得分。</w:t>
      </w:r>
      <w:r/>
    </w:p>
    <w:p>
      <w:pPr>
        <w:ind w:left="0" w:firstLine="360"/>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项目治理思路与技术</w:t>
      </w:r>
      <w:r>
        <w:rPr>
          <w:rFonts w:hint="eastAsia" w:ascii="宋体" w:hAnsi="宋体" w:eastAsia="宋体" w:cs="宋体"/>
          <w:b w:val="0"/>
          <w:bCs w:val="0"/>
          <w:color w:val="auto"/>
          <w:sz w:val="24"/>
          <w:highlight w:val="none"/>
          <w:lang w:val="en-US" w:eastAsia="zh-CN"/>
        </w:rPr>
        <w:t xml:space="preserve">分析</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项目治理思路明确，充分考虑各方面疑难点，针对性强，使用的技术路线合理科学的，得</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分；投标人治理思路可行，使用的技术路线比较合理的，得</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分；投标人治理思路及使用的技术路线一般的，得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rPr>
          <w:rFonts w:hint="eastAsia" w:ascii="宋体" w:hAnsi="宋体" w:eastAsia="宋体" w:cs="宋体"/>
          <w:b/>
          <w:bCs/>
          <w:color w:val="auto"/>
          <w:sz w:val="24"/>
          <w:highlight w:val="none"/>
        </w:rPr>
        <w:t xml:space="preserve">                     </w:t>
      </w:r>
      <w:r/>
    </w:p>
    <w:p>
      <w:pPr>
        <w:ind w:left="0" w:firstLine="361"/>
        <w:spacing w:line="44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项目</w:t>
      </w:r>
      <w:r>
        <w:rPr>
          <w:rFonts w:hint="eastAsia" w:ascii="宋体" w:hAnsi="宋体" w:eastAsia="宋体" w:cs="宋体"/>
          <w:b/>
          <w:bCs/>
          <w:color w:val="auto"/>
          <w:sz w:val="24"/>
          <w:highlight w:val="none"/>
          <w:lang w:val="en-US" w:eastAsia="zh-CN"/>
        </w:rPr>
        <w:t xml:space="preserve">的</w:t>
      </w:r>
      <w:r>
        <w:rPr>
          <w:rFonts w:hint="eastAsia" w:ascii="宋体" w:hAnsi="宋体" w:eastAsia="宋体" w:cs="宋体"/>
          <w:b/>
          <w:bCs/>
          <w:color w:val="auto"/>
          <w:sz w:val="24"/>
          <w:highlight w:val="none"/>
        </w:rPr>
        <w:t xml:space="preserve">理解</w:t>
      </w:r>
      <w:r>
        <w:rPr>
          <w:rFonts w:hint="eastAsia" w:ascii="宋体" w:hAnsi="宋体" w:eastAsia="宋体" w:cs="宋体"/>
          <w:b/>
          <w:bCs/>
          <w:color w:val="auto"/>
          <w:sz w:val="24"/>
          <w:highlight w:val="none"/>
          <w:lang w:val="en-US" w:eastAsia="zh-CN"/>
        </w:rPr>
        <w:t xml:space="preserve">程度</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分）</w:t>
      </w:r>
      <w:r/>
    </w:p>
    <w:p>
      <w:pPr>
        <w:ind w:left="0" w:firstLine="36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1）供应商对项目的整体理解（</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分）：对项目目标、现状分析、存在的问题、整体架构、技术优劣等方面分析，方案描述内容</w:t>
      </w:r>
      <w:r>
        <w:rPr>
          <w:rFonts w:hint="eastAsia" w:ascii="宋体" w:hAnsi="宋体" w:eastAsia="宋体" w:cs="宋体"/>
          <w:b w:val="0"/>
          <w:bCs w:val="0"/>
          <w:color w:val="auto"/>
          <w:sz w:val="24"/>
          <w:highlight w:val="none"/>
        </w:rPr>
        <w:t xml:space="preserve">详细完整</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透彻全面</w:t>
      </w:r>
      <w:r>
        <w:rPr>
          <w:rFonts w:hint="eastAsia" w:ascii="宋体" w:hAnsi="宋体" w:eastAsia="宋体" w:cs="宋体"/>
          <w:b w:val="0"/>
          <w:bCs w:val="0"/>
          <w:color w:val="auto"/>
          <w:sz w:val="24"/>
          <w:highlight w:val="none"/>
        </w:rPr>
        <w:t xml:space="preserve">，针对性强、可操作性强，思路合理</w:t>
      </w:r>
      <w:r>
        <w:rPr>
          <w:rFonts w:hint="eastAsia" w:ascii="宋体" w:hAnsi="宋体" w:eastAsia="宋体" w:cs="宋体"/>
          <w:b w:val="0"/>
          <w:bCs w:val="0"/>
          <w:color w:val="auto"/>
          <w:sz w:val="24"/>
          <w:highlight w:val="none"/>
          <w:lang w:val="en-US" w:eastAsia="zh-CN"/>
        </w:rPr>
        <w:t xml:space="preserve">得</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分；方案内容</w:t>
      </w:r>
      <w:r>
        <w:rPr>
          <w:rFonts w:hint="eastAsia" w:ascii="宋体" w:hAnsi="宋体" w:eastAsia="宋体" w:cs="宋体"/>
          <w:b w:val="0"/>
          <w:bCs w:val="0"/>
          <w:color w:val="auto"/>
          <w:sz w:val="24"/>
          <w:highlight w:val="none"/>
        </w:rPr>
        <w:t xml:space="preserve">描述完整可行，</w:t>
      </w:r>
      <w:r>
        <w:rPr>
          <w:rFonts w:hint="eastAsia" w:ascii="宋体" w:hAnsi="宋体" w:eastAsia="宋体" w:cs="宋体"/>
          <w:b w:val="0"/>
          <w:bCs w:val="0"/>
          <w:color w:val="auto"/>
          <w:sz w:val="24"/>
          <w:highlight w:val="none"/>
          <w:lang w:val="en-US" w:eastAsia="zh-CN"/>
        </w:rPr>
        <w:t xml:space="preserve">整体理解</w:t>
      </w:r>
      <w:r>
        <w:rPr>
          <w:rFonts w:hint="eastAsia" w:ascii="宋体" w:hAnsi="宋体" w:eastAsia="宋体" w:cs="宋体"/>
          <w:b w:val="0"/>
          <w:bCs w:val="0"/>
          <w:color w:val="auto"/>
          <w:sz w:val="24"/>
          <w:highlight w:val="none"/>
        </w:rPr>
        <w:t xml:space="preserve">基本透彻</w:t>
      </w:r>
      <w:r>
        <w:rPr>
          <w:rFonts w:hint="eastAsia" w:ascii="宋体" w:hAnsi="宋体" w:eastAsia="宋体" w:cs="宋体"/>
          <w:b w:val="0"/>
          <w:bCs w:val="0"/>
          <w:color w:val="auto"/>
          <w:sz w:val="24"/>
          <w:highlight w:val="none"/>
          <w:lang w:val="en-US" w:eastAsia="zh-CN"/>
        </w:rPr>
        <w:t xml:space="preserve">得</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分；方案内容描述简单，理解基本透彻</w:t>
      </w:r>
      <w:r>
        <w:rPr>
          <w:rFonts w:hint="eastAsia" w:ascii="宋体" w:hAnsi="宋体" w:eastAsia="宋体" w:cs="宋体"/>
          <w:b w:val="0"/>
          <w:bCs w:val="0"/>
          <w:color w:val="auto"/>
          <w:sz w:val="24"/>
          <w:highlight w:val="none"/>
        </w:rPr>
        <w:t xml:space="preserve">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分；内容未进行阐述或不满足采购需求的，该项</w:t>
      </w:r>
      <w:bookmarkStart w:id="0" w:name="_GoBack"/>
      <w:r/>
      <w:bookmarkEnd w:id="0"/>
      <w:r>
        <w:rPr>
          <w:rFonts w:hint="eastAsia" w:ascii="宋体" w:hAnsi="宋体" w:eastAsia="宋体" w:cs="宋体"/>
          <w:b w:val="0"/>
          <w:bCs w:val="0"/>
          <w:color w:val="auto"/>
          <w:sz w:val="24"/>
          <w:highlight w:val="none"/>
        </w:rPr>
        <w:t xml:space="preserve">不得分。</w:t>
      </w:r>
      <w:r/>
    </w:p>
    <w:p>
      <w:pPr>
        <w:ind w:left="0" w:firstLine="360"/>
        <w:spacing w:line="440" w:lineRule="exact"/>
        <w:rPr>
          <w:rFonts w:hint="eastAsia" w:ascii="宋体" w:hAnsi="宋体" w:eastAsia="宋体" w:cs="宋体"/>
          <w:b/>
          <w:bCs/>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维护服务要求的重点、难点</w:t>
      </w:r>
      <w:r>
        <w:rPr>
          <w:rFonts w:hint="eastAsia" w:ascii="宋体" w:hAnsi="宋体" w:eastAsia="宋体" w:cs="宋体"/>
          <w:b w:val="0"/>
          <w:bCs w:val="0"/>
          <w:color w:val="auto"/>
          <w:sz w:val="24"/>
          <w:highlight w:val="none"/>
          <w:lang w:val="en-US" w:eastAsia="zh-CN"/>
        </w:rPr>
        <w:t xml:space="preserve">分析及措施</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 </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维护服务要求中重点、难点分析透彻全面，措施编制严谨、合理、内容切实可行，该项得</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分；维护服务要求中重点、难点分析考虑较为周全，措施编制合理、科学、内容基本全面、具有可行性，该项得</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分；维护服务要求中重点、难点分析考虑少，措施编制不严谨、内容不全面、科学性一般，该项得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rPr>
          <w:rFonts w:hint="eastAsia" w:ascii="宋体" w:hAnsi="宋体" w:eastAsia="宋体" w:cs="宋体"/>
          <w:b w:val="0"/>
          <w:bCs w:val="0"/>
          <w:color w:val="auto"/>
          <w:sz w:val="24"/>
          <w:highlight w:val="none"/>
        </w:rPr>
        <w:t xml:space="preserve">   </w:t>
      </w:r>
      <w:r>
        <w:rPr>
          <w:rFonts w:hint="eastAsia" w:ascii="宋体" w:hAnsi="宋体" w:eastAsia="宋体" w:cs="宋体"/>
          <w:b/>
          <w:bCs/>
          <w:color w:val="auto"/>
          <w:sz w:val="24"/>
          <w:highlight w:val="none"/>
        </w:rPr>
        <w:t xml:space="preserve">                                                               </w:t>
      </w:r>
      <w:r/>
    </w:p>
    <w:p>
      <w:pPr>
        <w:ind w:left="0" w:firstLine="361"/>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（3）项目日常维护质量保证体系及措施（1</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分）</w:t>
      </w:r>
      <w:r/>
    </w:p>
    <w:p>
      <w:pPr>
        <w:ind w:left="0" w:firstLine="361"/>
        <w:spacing w:line="440" w:lineRule="exact"/>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lang w:val="en-US" w:eastAsia="zh-CN"/>
        </w:rPr>
        <w:t xml:space="preserve">1）日常维护质量保证体系（</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分）：所述日常维护质量保证体系内容详实、需求贴合度高且条理清晰的该条得</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分；内容较为简单、可行、细节有待完善的该条得</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分；内容描述简单，合理性一般、的得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rPr>
          <w:rFonts w:hint="eastAsia" w:ascii="宋体" w:hAnsi="宋体" w:eastAsia="宋体" w:cs="宋体"/>
          <w:b w:val="0"/>
          <w:bCs w:val="0"/>
          <w:color w:val="auto"/>
          <w:sz w:val="24"/>
          <w:highlight w:val="none"/>
        </w:rPr>
        <w:t xml:space="preserve">   </w:t>
      </w:r>
      <w:r>
        <w:rPr>
          <w:rFonts w:hint="eastAsia" w:ascii="宋体" w:hAnsi="宋体" w:eastAsia="宋体" w:cs="宋体"/>
          <w:b/>
          <w:bCs/>
          <w:color w:val="auto"/>
          <w:sz w:val="24"/>
          <w:highlight w:val="none"/>
        </w:rPr>
        <w:t xml:space="preserve">         </w:t>
      </w:r>
      <w:r/>
    </w:p>
    <w:p>
      <w:pPr>
        <w:ind w:left="0" w:firstLine="361"/>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2）日常维护的措施（6分）：日常维护措施方案流程清晰、安排合理、内容详尽具体，保障措施合理有效、可行性强的得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分；日常维护措施方案流程基本完整、内容有待改善</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保障措施</w:t>
      </w:r>
      <w:r>
        <w:rPr>
          <w:rFonts w:hint="eastAsia" w:ascii="宋体" w:hAnsi="宋体" w:eastAsia="宋体" w:cs="宋体"/>
          <w:b w:val="0"/>
          <w:bCs w:val="0"/>
          <w:color w:val="auto"/>
          <w:sz w:val="24"/>
          <w:highlight w:val="none"/>
        </w:rPr>
        <w:t xml:space="preserve">分析</w:t>
      </w:r>
      <w:r>
        <w:rPr>
          <w:rFonts w:hint="eastAsia" w:ascii="宋体" w:hAnsi="宋体" w:eastAsia="宋体" w:cs="宋体"/>
          <w:b w:val="0"/>
          <w:bCs w:val="0"/>
          <w:color w:val="auto"/>
          <w:sz w:val="24"/>
          <w:highlight w:val="none"/>
          <w:lang w:val="en-US" w:eastAsia="zh-CN"/>
        </w:rPr>
        <w:t xml:space="preserve">基本透彻，细节有待完善</w:t>
      </w:r>
      <w:r>
        <w:rPr>
          <w:rFonts w:hint="eastAsia" w:ascii="宋体" w:hAnsi="宋体" w:eastAsia="宋体" w:cs="宋体"/>
          <w:b w:val="0"/>
          <w:bCs w:val="0"/>
          <w:color w:val="auto"/>
          <w:sz w:val="24"/>
          <w:highlight w:val="none"/>
        </w:rPr>
        <w:t xml:space="preserve">的得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日常维护措施方案流程描述简单，保障措施针对性不强的得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val="en-US" w:eastAsia="zh-CN"/>
        </w:rPr>
        <w:t xml:space="preserve">内容未进行阐述或不满足采购需求的，该项不得分。</w:t>
      </w:r>
      <w:r/>
    </w:p>
    <w:p>
      <w:pPr>
        <w:ind w:left="0" w:firstLine="361"/>
        <w:spacing w:line="440" w:lineRule="exact"/>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应急措施</w:t>
      </w:r>
      <w:r>
        <w:rPr>
          <w:rFonts w:hint="eastAsia" w:ascii="宋体" w:hAnsi="宋体" w:eastAsia="宋体" w:cs="宋体"/>
          <w:b/>
          <w:bCs/>
          <w:color w:val="auto"/>
          <w:sz w:val="24"/>
          <w:highlight w:val="none"/>
          <w:lang w:val="en-US" w:eastAsia="zh-CN"/>
        </w:rPr>
        <w:t xml:space="preserve">方案</w:t>
      </w: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p>
    <w:p>
      <w:pPr>
        <w:ind w:left="0" w:firstLine="36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突发污染情况应对方案</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突发污染情况应对方案</w:t>
      </w:r>
      <w:r>
        <w:rPr>
          <w:rFonts w:hint="eastAsia" w:ascii="宋体" w:hAnsi="宋体" w:eastAsia="宋体" w:cs="宋体"/>
          <w:b w:val="0"/>
          <w:bCs w:val="0"/>
          <w:color w:val="auto"/>
          <w:sz w:val="24"/>
          <w:highlight w:val="none"/>
          <w:lang w:val="en-US" w:eastAsia="zh-CN"/>
        </w:rPr>
        <w:t xml:space="preserve">完善清晰、操作性强、可行性强的得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w:t>
      </w:r>
      <w:r>
        <w:rPr>
          <w:rFonts w:hint="eastAsia" w:ascii="宋体" w:hAnsi="宋体" w:eastAsia="宋体" w:cs="宋体"/>
          <w:b w:val="0"/>
          <w:bCs w:val="0"/>
          <w:color w:val="auto"/>
          <w:sz w:val="24"/>
          <w:highlight w:val="none"/>
        </w:rPr>
        <w:t xml:space="preserve">突发污染情况应对方案</w:t>
      </w:r>
      <w:r>
        <w:rPr>
          <w:rFonts w:hint="eastAsia" w:ascii="宋体" w:hAnsi="宋体" w:eastAsia="宋体" w:cs="宋体"/>
          <w:b w:val="0"/>
          <w:bCs w:val="0"/>
          <w:color w:val="auto"/>
          <w:sz w:val="24"/>
          <w:highlight w:val="none"/>
          <w:lang w:val="en-US" w:eastAsia="zh-CN"/>
        </w:rPr>
        <w:t xml:space="preserve">描述完整，操作性较强的得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w:t>
      </w:r>
      <w:r>
        <w:rPr>
          <w:rFonts w:hint="eastAsia" w:ascii="宋体" w:hAnsi="宋体" w:eastAsia="宋体" w:cs="宋体"/>
          <w:b w:val="0"/>
          <w:bCs w:val="0"/>
          <w:color w:val="auto"/>
          <w:sz w:val="24"/>
          <w:highlight w:val="none"/>
        </w:rPr>
        <w:t xml:space="preserve">突发污染情况应对方案</w:t>
      </w:r>
      <w:r>
        <w:rPr>
          <w:rFonts w:hint="eastAsia" w:ascii="宋体" w:hAnsi="宋体" w:eastAsia="宋体" w:cs="宋体"/>
          <w:b w:val="0"/>
          <w:bCs w:val="0"/>
          <w:color w:val="auto"/>
          <w:sz w:val="24"/>
          <w:highlight w:val="none"/>
          <w:lang w:val="en-US" w:eastAsia="zh-CN"/>
        </w:rPr>
        <w:t xml:space="preserve">考虑有所欠缺、实用性一般的得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p>
    <w:p>
      <w:pPr>
        <w:ind w:left="0" w:firstLine="360"/>
        <w:spacing w:line="440" w:lineRule="exact"/>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应急预案</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应急预案中应急处理方案考虑周全，针对性的预案编制内容具体全面、专业性强、可实施性强的该项得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分；应急预案中应急处理方案考虑较为全面，预案编制</w:t>
      </w:r>
      <w:r>
        <w:rPr>
          <w:rFonts w:hint="eastAsia" w:ascii="宋体" w:hAnsi="宋体" w:eastAsia="宋体" w:cs="宋体"/>
          <w:b w:val="0"/>
          <w:bCs w:val="0"/>
          <w:color w:val="auto"/>
          <w:sz w:val="24"/>
          <w:highlight w:val="none"/>
        </w:rPr>
        <w:t xml:space="preserve">合理、科学</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内容基本全面、具有可行性</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该项得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分；应急预案中应急处理方案考虑少，预案编制不够具体、</w:t>
      </w:r>
      <w:r>
        <w:rPr>
          <w:rFonts w:hint="eastAsia" w:ascii="宋体" w:hAnsi="宋体" w:eastAsia="宋体" w:cs="宋体"/>
          <w:b w:val="0"/>
          <w:bCs w:val="0"/>
          <w:color w:val="auto"/>
          <w:sz w:val="24"/>
          <w:highlight w:val="none"/>
        </w:rPr>
        <w:t xml:space="preserve">科学</w:t>
      </w:r>
      <w:r>
        <w:rPr>
          <w:rFonts w:hint="eastAsia" w:ascii="宋体" w:hAnsi="宋体" w:eastAsia="宋体" w:cs="宋体"/>
          <w:b w:val="0"/>
          <w:bCs w:val="0"/>
          <w:color w:val="auto"/>
          <w:sz w:val="24"/>
          <w:highlight w:val="none"/>
          <w:lang w:val="en-US" w:eastAsia="zh-CN"/>
        </w:rPr>
        <w:t xml:space="preserve">性一般的该项得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分；内容未进行阐述或不满足采购需求的，该项不得分。内容未进行阐述或不满足采购需求的，该项不得分。</w:t>
      </w:r>
      <w:r>
        <w:rPr>
          <w:rFonts w:hint="eastAsia" w:ascii="宋体" w:hAnsi="宋体" w:eastAsia="宋体" w:cs="宋体"/>
          <w:b w:val="0"/>
          <w:bCs w:val="0"/>
          <w:color w:val="auto"/>
          <w:sz w:val="24"/>
          <w:highlight w:val="none"/>
        </w:rPr>
        <w:t xml:space="preserve">  </w:t>
      </w:r>
      <w:r>
        <w:rPr>
          <w:rFonts w:hint="eastAsia" w:ascii="宋体" w:hAnsi="宋体" w:eastAsia="宋体" w:cs="宋体"/>
          <w:b/>
          <w:bCs/>
          <w:color w:val="auto"/>
          <w:sz w:val="24"/>
          <w:highlight w:val="none"/>
        </w:rPr>
        <w:t xml:space="preserve">                        </w:t>
      </w:r>
      <w:r/>
    </w:p>
    <w:p>
      <w:pPr>
        <w:ind w:left="0" w:firstLine="361"/>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养护服务工作</w:t>
      </w:r>
      <w:r>
        <w:rPr>
          <w:rFonts w:hint="eastAsia" w:ascii="宋体" w:hAnsi="宋体" w:eastAsia="宋体" w:cs="宋体"/>
          <w:b/>
          <w:bCs/>
          <w:color w:val="auto"/>
          <w:sz w:val="24"/>
          <w:highlight w:val="none"/>
          <w:lang w:val="en-US" w:eastAsia="zh-CN"/>
        </w:rPr>
        <w:t xml:space="preserve">进度</w:t>
      </w:r>
      <w:r>
        <w:rPr>
          <w:rFonts w:hint="eastAsia" w:ascii="宋体" w:hAnsi="宋体" w:eastAsia="宋体" w:cs="宋体"/>
          <w:b/>
          <w:bCs/>
          <w:color w:val="auto"/>
          <w:sz w:val="24"/>
          <w:highlight w:val="none"/>
        </w:rPr>
        <w:t xml:space="preserve">安排及措施(</w:t>
      </w:r>
      <w:r>
        <w:rPr>
          <w:rFonts w:hint="eastAsia"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p>
    <w:p>
      <w:pPr>
        <w:ind w:left="0" w:firstLine="36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1）养护服务工作进度安排（</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分）：养护服务工作进度安排具体合理，落实措施描述详细、有针对性的得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分；养护服务工作进度安排可行，落实措施描述内容完整，较有针对性，有待改善的得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分；养护服务工作进度安排简单，落实措施描述详细一般、分析透彻、合理一般、针对性一般的得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p>
    <w:p>
      <w:pPr>
        <w:ind w:left="0" w:firstLine="360"/>
        <w:spacing w:line="440" w:lineRule="exact"/>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lang w:val="en-US" w:eastAsia="zh-CN"/>
        </w:rPr>
        <w:t xml:space="preserve">2）养护服务工作进度安排保障措施（</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分）：养护服务工作进度安排保障措施考虑周全，针对性的措施编制完善合理、专业性强、可操作性强，该项得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分；保障措施合理、基本清晰，编制较具有针对性，内容有待改善，该项得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分；措施考虑少，编制不够具体、专业性一般、有一定可操作性，该项得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分；内容未进行阐述或不满足采购需求的，该项不得分。</w:t>
      </w:r>
      <w:r>
        <w:rPr>
          <w:rFonts w:hint="eastAsia" w:ascii="宋体" w:hAnsi="宋体" w:eastAsia="宋体" w:cs="宋体"/>
          <w:b w:val="0"/>
          <w:bCs w:val="0"/>
          <w:color w:val="auto"/>
          <w:sz w:val="24"/>
          <w:highlight w:val="none"/>
        </w:rPr>
        <w:t xml:space="preserve">  </w:t>
      </w:r>
      <w:r>
        <w:rPr>
          <w:rFonts w:hint="eastAsia" w:ascii="宋体" w:hAnsi="宋体" w:eastAsia="宋体" w:cs="宋体"/>
          <w:b/>
          <w:bCs/>
          <w:color w:val="auto"/>
          <w:sz w:val="24"/>
          <w:highlight w:val="none"/>
        </w:rPr>
        <w:t xml:space="preserve"> </w:t>
      </w:r>
      <w:r/>
    </w:p>
    <w:p>
      <w:pPr>
        <w:ind w:left="0" w:firstLine="361"/>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评标说明：</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①未列入本评分细则的其他条件不作为评分内容。</w:t>
      </w:r>
      <w:r/>
    </w:p>
    <w:p>
      <w:pPr>
        <w:ind w:right="0" w:firstLine="480"/>
        <w:jc w:val="both"/>
        <w:keepLines w:val="0"/>
        <w:keepNext w:val="0"/>
        <w:spacing w:before="0" w:beforeAutospacing="0" w:after="0" w:afterAutospacing="0" w:line="360" w:lineRule="auto"/>
        <w:widowControl/>
        <w:rPr>
          <w:rFonts w:hint="eastAsia" w:ascii="宋体" w:hAnsi="宋体" w:eastAsia="宋体" w:cs="宋体"/>
          <w:sz w:val="32"/>
          <w:szCs w:val="32"/>
        </w:rPr>
        <w:suppressLineNumbers w:val="0"/>
      </w:pPr>
      <w:r>
        <w:rPr>
          <w:rFonts w:hint="eastAsia" w:ascii="宋体" w:hAnsi="宋体" w:eastAsia="宋体" w:cs="宋体"/>
          <w:color w:val="auto"/>
          <w:sz w:val="24"/>
          <w:highlight w:val="none"/>
        </w:rPr>
        <w:t xml:space="preserve">②评委为5人，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r/>
    </w:p>
    <w:p>
      <w:pPr>
        <w:numPr>
          <w:ilvl w:val="0"/>
          <w:numId w:val="6"/>
        </w:numPr>
        <w:ind w:firstLine="480"/>
        <w:spacing w:line="360" w:lineRule="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定标：</w:t>
      </w:r>
      <w:r/>
    </w:p>
    <w:p>
      <w:pPr>
        <w:numPr>
          <w:ilvl w:val="0"/>
          <w:numId w:val="7"/>
        </w:num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自中标供应商确定之日起2个工作日内，发出中标通知书，并在财政部门指定的政府采购信息发布媒体上发布中标结果公告。</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和评标委员会对未中标原因不作解释。如有质疑，应在法定质疑期限内，即中标结果公告期限届满之日起7个工作日内，以书面形式（原件）送达</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numPr>
          <w:ilvl w:val="0"/>
          <w:numId w:val="7"/>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投标、开标及定标的整个过程均受相关部门的监督。</w:t>
      </w:r>
      <w:r/>
    </w:p>
    <w:p>
      <w:pPr>
        <w:numPr>
          <w:ilvl w:val="0"/>
          <w:numId w:val="7"/>
        </w:num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在发布中标公告的同时，</w:t>
      </w: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将向中标人发出中标通知书。</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（十一）废标的确认：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numPr>
          <w:ilvl w:val="0"/>
          <w:numId w:val="8"/>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符合专业条件的投标人或者对招标文件作出实质性响应的投标人不足三家；</w:t>
      </w:r>
      <w:r/>
    </w:p>
    <w:p>
      <w:pPr>
        <w:numPr>
          <w:ilvl w:val="0"/>
          <w:numId w:val="8"/>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出现影响采购公正的违法、违规行为；</w:t>
      </w:r>
      <w:r/>
    </w:p>
    <w:p>
      <w:pPr>
        <w:numPr>
          <w:ilvl w:val="0"/>
          <w:numId w:val="8"/>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投标人的报价均超过采购预算，采购人不能支付的；</w:t>
      </w:r>
      <w:r/>
    </w:p>
    <w:p>
      <w:pPr>
        <w:numPr>
          <w:ilvl w:val="0"/>
          <w:numId w:val="8"/>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因重大变故，采购任务取消。</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（十二）处罚：</w:t>
      </w:r>
      <w:r/>
    </w:p>
    <w:p>
      <w:pPr>
        <w:ind w:firstLine="480"/>
        <w:spacing w:line="360" w:lineRule="auto"/>
        <w:tabs>
          <w:tab w:val="righ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 </w:t>
      </w:r>
      <w:r>
        <w:rPr>
          <w:rFonts w:hint="eastAsia" w:ascii="宋体" w:hAnsi="宋体"/>
          <w:bCs/>
          <w:color w:val="auto"/>
          <w:sz w:val="24"/>
          <w:highlight w:val="none"/>
        </w:rPr>
        <w:t xml:space="preserve">中标人有下列情形之一且情节严重的，由财政部门将其列入不良行为记录名单，在一至三年内禁止参加政府采购活动，并予以通报：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2</w:t>
      </w:r>
      <w:r>
        <w:rPr>
          <w:rFonts w:ascii="宋体" w:hAnsi="宋体"/>
          <w:bCs/>
          <w:color w:val="auto"/>
          <w:sz w:val="24"/>
          <w:highlight w:val="none"/>
        </w:rPr>
        <w:t xml:space="preserve">）</w:t>
      </w:r>
      <w:r>
        <w:rPr>
          <w:rFonts w:hint="eastAsia" w:ascii="宋体" w:hAnsi="宋体"/>
          <w:bCs/>
          <w:color w:val="auto"/>
          <w:sz w:val="24"/>
          <w:highlight w:val="none"/>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拒绝履行合同义务的。</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（十三）中标无效的确认：</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（2）采取不正当手段诋毁、排挤其他投标人的；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（3）与招标采购单位、其他投标人恶意串通的；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（5）在招标过程中与采购人进行协商谈判、不按照招标文件和中标人的投标文件订立合同，或者与采购人另行订立背离合同实质性内容的协议的；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firstLine="480"/>
        <w:spacing w:line="360" w:lineRule="auto"/>
        <w:tabs>
          <w:tab w:val="left" w:pos="1455" w:leader="none"/>
        </w:tabs>
        <w:rPr>
          <w:rFonts w:hint="eastAsia" w:ascii="宋体" w:hAnsi="宋体"/>
          <w:bCs/>
          <w:color w:val="auto"/>
          <w:sz w:val="24"/>
          <w:highlight w:val="none"/>
        </w:rPr>
      </w:pPr>
      <w:r>
        <w:rPr>
          <w:rFonts w:hint="eastAsia" w:ascii="宋体" w:hAnsi="宋体"/>
          <w:bCs/>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（十四）签订</w:t>
      </w:r>
      <w:r>
        <w:rPr>
          <w:rFonts w:hint="eastAsia" w:ascii="黑体" w:hAnsi="黑体" w:eastAsia="黑体" w:cs="黑体"/>
          <w:color w:val="auto"/>
          <w:sz w:val="24"/>
          <w:highlight w:val="none"/>
        </w:rPr>
        <w:t xml:space="preserve">、履行</w:t>
      </w:r>
      <w:r>
        <w:rPr>
          <w:rFonts w:hint="eastAsia" w:ascii="黑体" w:hAnsi="黑体" w:eastAsia="黑体" w:cs="黑体"/>
          <w:bCs/>
          <w:color w:val="auto"/>
          <w:sz w:val="24"/>
          <w:highlight w:val="none"/>
        </w:rPr>
        <w:t xml:space="preserve">合同：</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eastAsia="宋体" w:cs="宋体"/>
          <w:color w:val="auto"/>
          <w:sz w:val="24"/>
          <w:szCs w:val="24"/>
          <w:lang w:eastAsia="zh-CN"/>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eastAsia="宋体" w:cs="宋体"/>
          <w:color w:val="auto"/>
          <w:sz w:val="24"/>
          <w:szCs w:val="24"/>
          <w:highlight w:val="none"/>
          <w:lang w:eastAsia="zh-CN"/>
        </w:rPr>
        <w:t xml:space="preserve">中标供应商向采购人缴纳的履约保证金不超过政府采购合同金额的</w:t>
      </w:r>
      <w:r>
        <w:rPr>
          <w:rFonts w:hint="eastAsia" w:ascii="宋体" w:hAnsi="宋体"/>
          <w:color w:val="auto"/>
          <w:sz w:val="24"/>
          <w:szCs w:val="24"/>
          <w:highlight w:val="none"/>
          <w:lang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本项目履约保证金金额为合同价的10%。</w:t>
      </w:r>
      <w:r>
        <w:rPr>
          <w:rFonts w:hint="eastAsia" w:ascii="宋体" w:hAnsi="宋体" w:eastAsia="宋体" w:cs="宋体"/>
          <w:color w:val="auto"/>
          <w:sz w:val="24"/>
          <w:szCs w:val="24"/>
          <w:highlight w:val="none"/>
          <w:lang w:eastAsia="zh-CN"/>
        </w:rPr>
        <w:t xml:space="preserve">收取履约保证金的，采购人应当允许供应商自主选择以支票、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汇票、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本票、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保函等非现金形式缴纳或提交，并与中标供应商在采购合同中约定履约保证金退还的方式、时间、条件和不予退还的情形，明确逾期退还履约保证金的违约责任。</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监督合同的履行。中标人非因不可抗力未履行招、投标文件和合同规定的义务，一经查实，采购代理机构将根据具体情况提请政府采购管理部门作出相应处理。</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（十五）政府采购信用担保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（十六）政府采购合同融资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合同融资，是指参与政府采购的供应商，凭借中</w:t>
      </w:r>
      <w:r>
        <w:rPr>
          <w:rFonts w:hint="eastAsia" w:ascii="宋体" w:hAnsi="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中标、成交供应商可采用合同融资形式，中标人可凭政府采购合同办理融资贷款，详见无锡市政府采购网“政采贷”专栏。</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七</w:t>
      </w:r>
      <w:r>
        <w:rPr>
          <w:rFonts w:hint="eastAsia" w:ascii="黑体" w:hAnsi="黑体" w:eastAsia="黑体" w:cs="黑体"/>
          <w:color w:val="auto"/>
          <w:sz w:val="24"/>
          <w:highlight w:val="none"/>
        </w:rPr>
        <w:t xml:space="preserve">）代理服务费：</w:t>
      </w:r>
      <w:r/>
    </w:p>
    <w:p>
      <w:pPr>
        <w:ind w:firstLine="480"/>
        <w:spacing w:line="360" w:lineRule="auto"/>
        <w:shd w:val="clear" w:color="auto"/>
        <w:rPr>
          <w:rFonts w:hint="eastAsia" w:ascii="宋体" w:hAnsi="宋体"/>
          <w:color w:val="auto"/>
          <w:sz w:val="24"/>
          <w:highlight w:val="none"/>
          <w:u w:val="none"/>
        </w:rPr>
      </w:pPr>
      <w:r>
        <w:rPr>
          <w:rFonts w:hint="eastAsia" w:ascii="宋体" w:hAnsi="宋体"/>
          <w:color w:val="000000" w:themeColor="text1"/>
          <w:sz w:val="24"/>
          <w:highlight w:val="none"/>
          <w:shd w:val="clear" w:color="auto"/>
          <w14:textFill>
            <w14:solidFill>
              <w14:schemeClr w14:val="tx1"/>
            </w14:solidFill>
          </w14:textFill>
        </w:rPr>
        <w:t xml:space="preserve">本项目代理服务费由采购人支付。招标代理服务费以中标金额为计算基数，采用差额定率累进计费方式，标准如下：100万元以下费率为1.5%，100万-500万费率为0.8%。按上述标准的75%计取。</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八</w:t>
      </w:r>
      <w:r>
        <w:rPr>
          <w:rFonts w:hint="eastAsia" w:ascii="黑体" w:hAnsi="黑体" w:eastAsia="黑体" w:cs="黑体"/>
          <w:color w:val="auto"/>
          <w:sz w:val="24"/>
          <w:highlight w:val="none"/>
        </w:rPr>
        <w:t xml:space="preserve">）其他：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pStyle w:val="722"/>
        <w:ind w:left="0" w:firstLine="480"/>
        <w:spacing w:after="0"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附：政府采购合同融资政策告知：</w:t>
      </w:r>
      <w:r/>
    </w:p>
    <w:p>
      <w:pPr>
        <w:ind w:firstLine="480"/>
        <w:jc w:val="left"/>
        <w:spacing w:line="360" w:lineRule="auto"/>
        <w:widowControl/>
        <w:tabs>
          <w:tab w:val="left" w:pos="360" w:leader="none"/>
          <w:tab w:val="left" w:pos="960" w:leader="none"/>
        </w:tabs>
        <w:rPr>
          <w:color w:val="auto"/>
          <w:highlight w:val="none"/>
        </w:rPr>
      </w:pPr>
      <w:r>
        <w:rPr>
          <w:rFonts w:hint="eastAsia" w:ascii="宋体" w:hAnsi="宋体"/>
          <w:color w:val="auto"/>
          <w:sz w:val="24"/>
          <w:highlight w:val="none"/>
        </w:rPr>
        <w:t xml:space="preserve">中标供应商可依法依规使用本项目合同向金融机构融资，但采购人不为中标供应商的融资行为提供担保。</w:t>
      </w:r>
      <w:r/>
    </w:p>
    <w:p>
      <w:pPr>
        <w:ind w:firstLine="480"/>
        <w:jc w:val="center"/>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无锡市政府采购合同融资政策告知函</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各供应商：</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jc w:val="left"/>
        <w:spacing w:line="360" w:lineRule="auto"/>
        <w:widowControl/>
        <w:tabs>
          <w:tab w:val="left" w:pos="360" w:leader="none"/>
          <w:tab w:val="left" w:pos="960" w:leader="none"/>
        </w:tabs>
        <w:rPr>
          <w:color w:val="auto"/>
          <w:highlight w:val="none"/>
        </w:rPr>
      </w:pPr>
      <w:r>
        <w:rPr>
          <w:rFonts w:hint="eastAsia" w:ascii="宋体" w:hAnsi="宋体"/>
          <w:color w:val="auto"/>
          <w:sz w:val="24"/>
          <w:highlight w:val="none"/>
        </w:rPr>
        <w:t xml:space="preserve">贷款渠道和提供贷款的金融机构，可在无锡政府采购网无锡市政府采购交易管理一体化系统查询联系。</w:t>
      </w:r>
      <w:r/>
    </w:p>
    <w:p>
      <w:pPr>
        <w:ind w:firstLine="883"/>
        <w:jc w:val="center"/>
        <w:spacing w:line="360" w:lineRule="auto"/>
        <w:rPr>
          <w:rFonts w:hint="eastAsia" w:hAnsi="宋体"/>
          <w:color w:val="auto"/>
          <w:sz w:val="24"/>
          <w:highlight w:val="none"/>
        </w:rPr>
      </w:pPr>
      <w:r>
        <w:rPr>
          <w:rFonts w:hint="eastAsia" w:ascii="黑体" w:eastAsia="黑体"/>
          <w:b/>
          <w:color w:val="auto"/>
          <w:sz w:val="44"/>
          <w:szCs w:val="44"/>
          <w:highlight w:val="none"/>
        </w:rPr>
        <w:br w:type="page" w:clear="all"/>
      </w:r>
      <w:r>
        <w:rPr>
          <w:rFonts w:hint="eastAsia" w:ascii="黑体" w:eastAsia="黑体"/>
          <w:b/>
          <w:color w:val="auto"/>
          <w:sz w:val="44"/>
          <w:szCs w:val="44"/>
          <w:highlight w:val="none"/>
        </w:rPr>
        <w:t xml:space="preserve">第三部分．采购需求</w:t>
      </w:r>
      <w:r/>
    </w:p>
    <w:p>
      <w:pP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一、采购标的需实现的功能或者目标，以及为落实政府采购政策需满足的要求</w:t>
      </w:r>
      <w:r>
        <w:rPr>
          <w:rFonts w:hint="eastAsia" w:ascii="宋体" w:hAnsi="宋体" w:eastAsia="宋体" w:cs="宋体"/>
          <w:b/>
          <w:bCs/>
          <w:sz w:val="28"/>
          <w:szCs w:val="28"/>
          <w:highlight w:val="none"/>
          <w:lang w:eastAsia="zh-CN"/>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1、采购标的需实现</w:t>
      </w:r>
      <w:r>
        <w:rPr>
          <w:rFonts w:hint="eastAsia" w:ascii="宋体" w:hAnsi="宋体" w:eastAsia="宋体" w:cs="宋体"/>
          <w:color w:val="auto"/>
          <w:sz w:val="24"/>
          <w:szCs w:val="24"/>
          <w:highlight w:val="none"/>
        </w:rPr>
        <w:t xml:space="preserve">的功能或者目标：</w:t>
      </w:r>
      <w:r>
        <w:rPr>
          <w:rFonts w:hint="eastAsia" w:ascii="宋体" w:hAnsi="宋体" w:eastAsia="宋体" w:cs="宋体"/>
          <w:color w:val="auto"/>
          <w:sz w:val="24"/>
          <w:szCs w:val="24"/>
          <w:highlight w:val="none"/>
          <w:lang w:val="en-US" w:eastAsia="zh-CN"/>
        </w:rPr>
        <w:t xml:space="preserve">蠡湖街道</w:t>
      </w:r>
      <w:r>
        <w:rPr>
          <w:rFonts w:hint="eastAsia" w:ascii="宋体" w:hAnsi="宋体" w:eastAsia="宋体" w:cs="宋体"/>
          <w:color w:val="auto"/>
          <w:sz w:val="24"/>
          <w:szCs w:val="24"/>
          <w:highlight w:val="none"/>
        </w:rPr>
        <w:t xml:space="preserve">东新河、蠡溪河等</w:t>
      </w:r>
      <w:r>
        <w:rPr>
          <w:rFonts w:hint="eastAsia"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条河道养护</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东新河、庙泾浜、连大桥浜、丁昌桥浜、蠡溪河、王巷浜、美湖浜、陆典桥浜、西新河、线泾浜、徐祥浜、新胡田庄浜</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实施水面、岸脚、岸坡垃圾清理，进行设备养护、河道日常巡查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水质维护</w:t>
      </w:r>
      <w:r>
        <w:rPr>
          <w:rFonts w:hint="eastAsia" w:hAnsi="宋体" w:cs="宋体"/>
          <w:color w:val="auto"/>
          <w:sz w:val="24"/>
          <w:szCs w:val="24"/>
          <w:highlight w:val="none"/>
          <w:lang w:val="en-US" w:eastAsia="zh-CN"/>
        </w:rPr>
        <w:t xml:space="preserve">确保达标</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新城河、黄家边浜水质维护确保水质达标。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为落实政府采购政策需满足的要求：本项目专门面向</w:t>
      </w:r>
      <w:r>
        <w:rPr>
          <w:rFonts w:hint="eastAsia" w:ascii="宋体" w:hAnsi="宋体" w:eastAsia="宋体" w:cs="宋体"/>
          <w:sz w:val="24"/>
          <w:szCs w:val="24"/>
          <w:highlight w:val="none"/>
          <w:lang w:eastAsia="zh-CN"/>
        </w:rPr>
        <w:t xml:space="preserve">中</w:t>
      </w:r>
      <w:r>
        <w:rPr>
          <w:rFonts w:hint="eastAsia" w:ascii="宋体" w:hAnsi="宋体" w:eastAsia="宋体" w:cs="宋体"/>
          <w:sz w:val="24"/>
          <w:szCs w:val="24"/>
          <w:highlight w:val="none"/>
        </w:rPr>
        <w:t xml:space="preserve">小微企业采购。</w:t>
      </w:r>
      <w:r/>
    </w:p>
    <w:p>
      <w:pPr>
        <w:spacing w:line="360" w:lineRule="auto"/>
        <w:tabs>
          <w:tab w:val="left" w:pos="2380" w:leader="none"/>
        </w:tabs>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二、采购标的需执行的国家相关标准、行业标准、地方标准或者其他标准、规范</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满足国家相关法律法规及国家标准、行业标准、地方标准</w:t>
      </w:r>
      <w:r>
        <w:rPr>
          <w:rFonts w:hint="eastAsia" w:ascii="宋体" w:hAnsi="宋体" w:eastAsia="宋体" w:cs="宋体"/>
          <w:sz w:val="24"/>
          <w:szCs w:val="24"/>
          <w:highlight w:val="none"/>
          <w:lang w:eastAsia="zh-CN"/>
        </w:rPr>
        <w:t xml:space="preserve">，满足《</w:t>
      </w:r>
      <w:r>
        <w:rPr>
          <w:rFonts w:hint="eastAsia" w:ascii="宋体" w:hAnsi="宋体" w:eastAsia="宋体" w:cs="宋体"/>
          <w:sz w:val="24"/>
          <w:szCs w:val="24"/>
          <w:highlight w:val="none"/>
        </w:rPr>
        <w:t xml:space="preserve">地表水环境质量标准》(GB3838-2002)Ⅲ类标准及采购人的要求。</w:t>
      </w:r>
      <w:r/>
    </w:p>
    <w:p>
      <w:pPr>
        <w:spacing w:line="360" w:lineRule="auto"/>
        <w:rPr>
          <w:rFonts w:hint="default" w:ascii="宋体" w:hAnsi="宋体" w:eastAsia="宋体" w:cs="宋体"/>
          <w:sz w:val="28"/>
          <w:szCs w:val="28"/>
          <w:highlight w:val="none"/>
          <w:lang w:val="en-US" w:eastAsia="zh-CN"/>
        </w:rPr>
      </w:pPr>
      <w:r>
        <w:rPr>
          <w:rFonts w:hint="eastAsia" w:hAnsi="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 </w:t>
      </w:r>
      <w:r/>
    </w:p>
    <w:p>
      <w:pPr>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rPr>
        <w:t xml:space="preserve">1、本项目预算金额：</w:t>
      </w:r>
      <w:r>
        <w:rPr>
          <w:rFonts w:hint="eastAsia" w:hAnsi="宋体" w:cs="宋体"/>
          <w:sz w:val="24"/>
          <w:szCs w:val="24"/>
          <w:highlight w:val="none"/>
          <w:lang w:val="en-US" w:eastAsia="zh-CN"/>
        </w:rPr>
        <w:t xml:space="preserve">350</w:t>
      </w:r>
      <w:r>
        <w:rPr>
          <w:rFonts w:hint="eastAsia" w:ascii="宋体" w:hAnsi="宋体" w:eastAsia="宋体" w:cs="宋体"/>
          <w:sz w:val="24"/>
          <w:szCs w:val="24"/>
          <w:highlight w:val="none"/>
        </w:rPr>
        <w:t xml:space="preserve">万元</w:t>
      </w:r>
      <w:r>
        <w:rPr>
          <w:rFonts w:hint="eastAsia" w:hAnsi="宋体" w:cs="宋体"/>
          <w:sz w:val="24"/>
          <w:szCs w:val="24"/>
          <w:highlight w:val="none"/>
          <w:lang w:val="en-US" w:eastAsia="zh-CN"/>
        </w:rPr>
        <w:t xml:space="preserve">;</w:t>
      </w:r>
      <w:r/>
    </w:p>
    <w:tbl>
      <w:tblPr>
        <w:tblStyle w:val="691"/>
        <w:tblW w:w="93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820"/>
        <w:gridCol w:w="1395"/>
        <w:gridCol w:w="5061"/>
        <w:gridCol w:w="732"/>
        <w:gridCol w:w="830"/>
      </w:tblGrid>
      <w:tr>
        <w:trPr>
          <w:jc w:val="center"/>
          <w:trHeight w:val="312"/>
          <w:tblHeader/>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工程量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生态浮岛的修剪、养护、更换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1、日常巡查： 每周巡查两次， 松动及时固定，破损及时维修，避免整个浮岛连带损伤。</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2、及时修剪枯黄、枯死和倒伏植株，及时清理滨岸带挺水植物周围的杂物或垃圾。</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3、定期去除杂草， 除草时注意不要破坏植被根系。</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5、对于因病虫害等原因造成某个或某些植被死亡时，应将植被撤出，并进行相应的补种；当植物有严重病虫害时，应撤出后再喷洒杀虫剂处理。</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沉水植物的修剪、养护、更换（养护标准：三级养护）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1、及时清除水体表面的植物及非目的性沉水植物。</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2、沉水植物长出水面影响景观时， 应进行人工打捞或机割。对于浮出水面的死株，应及时清除。</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一年收割1次， 收割时间为枯萎1周内开始收割，收割方式为机收割或人工打捞。</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挺水植物及浮叶植物的修剪、养护、维修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1、日常巡查： 每周巡查两次， 及时修剪枯黄、枯死和倒伏植株，及时清理滨岸带挺水植物周围的杂物或垃圾。</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2、植物种植后， 每半月检查一次植物的生长情况，并及时补植缺损植株。</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3、定期去除杂草， 除草时注意不要破坏植被根系。</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5、对于因病虫害等原因造成某个或某些植被死亡时，应将植被撤出，并进行相应的补种；当植物有严重病虫害时，应撤出后再喷洒杀虫剂处理。</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垃圾清运消纳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1、常态保洁，垃圾每日清走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2、定期大规模清理修剪除杂时，若垃圾量过多时，限期内清走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3、确保岸线无垃圾堆放，避免二次污染环境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设备及曝气管保养</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沉水风机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涡旋风机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曝气管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喷泉曝气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景观喷泉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推流曝气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离子推流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离子发生器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定期检修保养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1、型号：YJV-3*4  2、穿套管沿驳岸明敷（按实结算）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新增曝气管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1、PE管DN50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2、每隔1m开孔，孔径2mm，DN50镀锌钢管固定，桩长3m，间距3m，含管件安装（带水作业，按实结算）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河道保洁及垃圾清理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1、常态保洁工作， 做到每日有专人进行打捞，巡回保洁，确保水面、河岸常态整洁，2人/日；</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140626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2、应急处突保洁工作， 发现河道水域内有病死动物尸体时，及时打捞上岸进行无害化处理。</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3、暴雨过后， 及时清理河道中垃圾、杂草、障碍物，确保河道畅通，河面、岸线干净整洁。</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tcBorders>
              <w:top w:val="single" w:color="000000" w:sz="4" w:space="0"/>
              <w:left w:val="single" w:color="000000" w:sz="4" w:space="0"/>
              <w:bottom w:val="non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水质检测</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频次：28个点位每周一次， 并提供水质结果，以便甲方及时了解水质动态</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tcBorders>
              <w:top w:val="single" w:color="000000" w:sz="4" w:space="0"/>
              <w:left w:val="single" w:color="000000" w:sz="4" w:space="0"/>
              <w:bottom w:val="non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1344</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微生物菌剂投放</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投放微生物菌剂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1、品种：高浓缩硝化菌；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2、成分：芽孢杆菌、芽孢菌、醋（乳）酸菌等；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3、作用：维护河道微生物生态群落，降解河水氨氮等指标。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4、维稳河道水质，特殊情况时，应甲方要求，对河道进行应急处理。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生物蜡块投放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在河道中投放生物蜡块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1、生物蜡块40*60*2cm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w:t>
            </w:r>
            <w:r/>
          </w:p>
        </w:tc>
      </w:tr>
      <w:tr>
        <w:trPr>
          <w:jc w:val="center"/>
          <w:trHeight w:val="0"/>
        </w:trPr>
        <w:tc>
          <w:tcPr>
            <w:gridSpan w:val="6"/>
            <w:tcBorders>
              <w:top w:val="single" w:color="000000" w:sz="4" w:space="0"/>
              <w:left w:val="single" w:color="000000" w:sz="4" w:space="0"/>
              <w:bottom w:val="single" w:color="000000" w:sz="4" w:space="0"/>
              <w:right w:val="single" w:color="000000" w:sz="4" w:space="0"/>
            </w:tcBorders>
            <w:tcW w:w="93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注：1、养护期间需做好每日台账，甲方不定时查看，养护期结束需提供养护期的全部台账。</w:t>
            </w:r>
            <w:r/>
          </w:p>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i w:val="0"/>
                <w:iCs w:val="0"/>
                <w:color w:val="000000"/>
                <w:sz w:val="18"/>
                <w:szCs w:val="18"/>
                <w:u w:val="none"/>
                <w:lang w:val="en-US" w:eastAsia="zh-CN" w:bidi="ar"/>
              </w:rPr>
              <w:t xml:space="preserve">2、菌剂投放按实结算，每次菌剂投放做好相应时间、数量的记录，甲乙双方需签字确认，方便后期结算。</w:t>
            </w:r>
            <w:r/>
          </w:p>
        </w:tc>
      </w:tr>
    </w:tbl>
    <w:p>
      <w:pPr>
        <w:pStyle w:val="698"/>
        <w:rPr>
          <w:rFonts w:hint="eastAsia"/>
          <w:lang w:val="en-US" w:eastAsia="zh-CN"/>
        </w:rPr>
      </w:pPr>
      <w:r>
        <w:rPr>
          <w:rFonts w:hint="eastAsia"/>
          <w:lang w:val="en-US" w:eastAsia="zh-CN"/>
        </w:rPr>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3、服务期：一年，具体日期以合同签订日期为准。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4、服务地点：无锡市滨湖区蠡湖街道辖区范围内。</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8"/>
          <w:szCs w:val="28"/>
          <w:highlight w:val="none"/>
          <w:lang w:eastAsia="zh-CN"/>
        </w:rPr>
        <w:t xml:space="preserve">四、</w:t>
      </w:r>
      <w:r>
        <w:rPr>
          <w:rFonts w:hint="eastAsia" w:ascii="宋体" w:hAnsi="宋体" w:eastAsia="宋体" w:cs="宋体"/>
          <w:b/>
          <w:bCs/>
          <w:sz w:val="28"/>
          <w:szCs w:val="28"/>
          <w:highlight w:val="none"/>
        </w:rPr>
        <w:t xml:space="preserve">采购标的需满足的质量、安全、技术规格、物理特性等要求：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1、养护质量标准：</w:t>
      </w:r>
      <w:r>
        <w:rPr>
          <w:rFonts w:hint="eastAsia" w:ascii="宋体" w:hAnsi="宋体" w:eastAsia="宋体" w:cs="宋体"/>
          <w:sz w:val="24"/>
          <w:szCs w:val="24"/>
          <w:highlight w:val="none"/>
        </w:rPr>
        <w:t xml:space="preserve">满足国家相关法律法规及国家标准、行业标准、地方标准</w:t>
      </w:r>
      <w:r>
        <w:rPr>
          <w:rFonts w:hint="eastAsia" w:ascii="宋体" w:hAnsi="宋体" w:eastAsia="宋体" w:cs="宋体"/>
          <w:sz w:val="24"/>
          <w:szCs w:val="24"/>
          <w:highlight w:val="none"/>
          <w:lang w:eastAsia="zh-CN"/>
        </w:rPr>
        <w:t xml:space="preserve">，满足《</w:t>
      </w:r>
      <w:r>
        <w:rPr>
          <w:rFonts w:hint="eastAsia" w:ascii="宋体" w:hAnsi="宋体" w:eastAsia="宋体" w:cs="宋体"/>
          <w:sz w:val="24"/>
          <w:szCs w:val="24"/>
          <w:highlight w:val="none"/>
        </w:rPr>
        <w:t xml:space="preserve">地表水环境质量标准》(GB3838-2002)Ⅲ类标准及采购人的要求</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2、河道养护要求：河道日常巡查</w:t>
      </w:r>
      <w:r>
        <w:rPr>
          <w:rFonts w:hint="eastAsia" w:ascii="宋体" w:hAnsi="宋体" w:eastAsia="宋体" w:cs="宋体"/>
          <w:sz w:val="24"/>
          <w:szCs w:val="24"/>
          <w:highlight w:val="none"/>
        </w:rPr>
        <w:t xml:space="preserve">，水面、岸脚、岸坡垃圾清理，确保河道水面无漂浮物，提防、岸线管护等工作，并负责垃圾的清运与消纳</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3、水体取样监测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水质标准：按照溶解氧，高锰酸盐指数，氨氮（NH3—N），化学需氧量，总磷（TP）五项指标对全年12个月</w:t>
      </w:r>
      <w:r>
        <w:rPr>
          <w:rFonts w:hint="eastAsia" w:hAnsi="宋体" w:cs="宋体"/>
          <w:sz w:val="24"/>
          <w:szCs w:val="24"/>
          <w:highlight w:val="none"/>
          <w:lang w:val="en-US" w:eastAsia="zh-CN"/>
        </w:rPr>
        <w:t xml:space="preserve">28个点位</w:t>
      </w:r>
      <w:r>
        <w:rPr>
          <w:rFonts w:hint="eastAsia" w:ascii="宋体" w:hAnsi="宋体" w:eastAsia="宋体" w:cs="宋体"/>
          <w:sz w:val="24"/>
          <w:szCs w:val="24"/>
          <w:highlight w:val="none"/>
          <w:lang w:val="en-US" w:eastAsia="zh-CN"/>
        </w:rPr>
        <w:t xml:space="preserve">的水质情况</w:t>
      </w:r>
      <w:r>
        <w:rPr>
          <w:rFonts w:hint="eastAsia" w:hAnsi="宋体" w:cs="宋体"/>
          <w:sz w:val="24"/>
          <w:szCs w:val="24"/>
          <w:highlight w:val="none"/>
          <w:lang w:val="en-US" w:eastAsia="zh-CN"/>
        </w:rPr>
        <w:t xml:space="preserve">每周一次</w:t>
      </w:r>
      <w:r>
        <w:rPr>
          <w:rFonts w:hint="eastAsia" w:ascii="宋体" w:hAnsi="宋体" w:eastAsia="宋体" w:cs="宋体"/>
          <w:sz w:val="24"/>
          <w:szCs w:val="24"/>
          <w:highlight w:val="none"/>
          <w:lang w:val="en-US" w:eastAsia="zh-CN"/>
        </w:rPr>
        <w:t xml:space="preserve">进行监测，并提供水质检测</w:t>
      </w:r>
      <w:r>
        <w:rPr>
          <w:rFonts w:hint="eastAsia" w:hAnsi="宋体" w:cs="宋体"/>
          <w:sz w:val="24"/>
          <w:szCs w:val="24"/>
          <w:highlight w:val="none"/>
          <w:lang w:val="en-US" w:eastAsia="zh-CN"/>
        </w:rPr>
        <w:t xml:space="preserve">结果</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4、水质目标</w:t>
      </w:r>
      <w:r/>
    </w:p>
    <w:p>
      <w:pPr>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水质目标</w:t>
      </w:r>
      <w:r>
        <w:rPr>
          <w:rFonts w:hint="eastAsia"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年平均水质，达到Ⅲ类水质等级。</w:t>
      </w:r>
      <w:r/>
    </w:p>
    <w:tbl>
      <w:tblPr>
        <w:tblStyle w:val="691"/>
        <w:tblW w:w="88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55"/>
        <w:gridCol w:w="2252"/>
        <w:gridCol w:w="1876"/>
        <w:gridCol w:w="1755"/>
        <w:gridCol w:w="1921"/>
      </w:tblGrid>
      <w:tr>
        <w:trPr>
          <w:jc w:val="center"/>
          <w:trHeight w:val="617"/>
        </w:trPr>
        <w:tc>
          <w:tcPr>
            <w:tcBorders>
              <w:top w:val="single" w:color="auto" w:sz="4" w:space="0"/>
              <w:left w:val="single" w:color="auto" w:sz="4" w:space="0"/>
              <w:right w:val="single" w:color="auto" w:sz="4" w:space="0"/>
            </w:tcBorders>
            <w:tcW w:w="1055"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right w:val="single" w:color="auto" w:sz="4" w:space="0"/>
            </w:tcBorders>
            <w:tcW w:w="2252"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指标</w:t>
            </w:r>
            <w:r/>
          </w:p>
        </w:tc>
        <w:tc>
          <w:tcPr>
            <w:gridSpan w:val="3"/>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水质目标</w:t>
            </w:r>
            <w:r/>
          </w:p>
        </w:tc>
      </w:tr>
      <w:tr>
        <w:trPr>
          <w:jc w:val="center"/>
          <w:trHeight w:val="617"/>
        </w:trPr>
        <w:tc>
          <w:tcPr>
            <w:tcBorders>
              <w:left w:val="single" w:color="auto" w:sz="4" w:space="0"/>
              <w:bottom w:val="single" w:color="auto" w:sz="4" w:space="0"/>
              <w:right w:val="single" w:color="auto" w:sz="4" w:space="0"/>
            </w:tcBorders>
            <w:tcW w:w="105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2252"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ROMAN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III</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Ⅳ类</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V类</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化学需氧量</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≤40mg/L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氨氮</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≤1.5mg/L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总磷</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≤0.2mg/L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≤0.3mg/L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≤0.4mg/L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溶解氧</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r>
      <w:tr>
        <w:trPr>
          <w:jc w:val="center"/>
          <w:trHeight w:val="62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高锰酸盐指数</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≤6mg/L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≤15mg/L</w:t>
            </w:r>
            <w:r/>
          </w:p>
        </w:tc>
      </w:tr>
    </w:tbl>
    <w:p>
      <w:pPr>
        <w:spacing w:line="360" w:lineRule="auto"/>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五、采购标的</w:t>
      </w:r>
      <w:r>
        <w:rPr>
          <w:rFonts w:hint="eastAsia" w:ascii="宋体" w:hAnsi="宋体" w:eastAsia="宋体" w:cs="宋体"/>
          <w:b/>
          <w:bCs/>
          <w:sz w:val="28"/>
          <w:szCs w:val="28"/>
          <w:highlight w:val="none"/>
          <w:lang w:eastAsia="zh-CN"/>
        </w:rPr>
        <w:t xml:space="preserve">的</w:t>
      </w:r>
      <w:r>
        <w:rPr>
          <w:rFonts w:hint="eastAsia" w:ascii="宋体" w:hAnsi="宋体" w:eastAsia="宋体" w:cs="宋体"/>
          <w:b/>
          <w:bCs/>
          <w:sz w:val="28"/>
          <w:szCs w:val="28"/>
          <w:highlight w:val="none"/>
        </w:rPr>
        <w:t xml:space="preserve">项目技术要求</w:t>
      </w:r>
      <w:r>
        <w:rPr>
          <w:rFonts w:hint="eastAsia" w:ascii="宋体" w:hAnsi="宋体" w:eastAsia="宋体" w:cs="宋体"/>
          <w:b/>
          <w:bCs/>
          <w:sz w:val="28"/>
          <w:szCs w:val="28"/>
          <w:highlight w:val="none"/>
          <w:lang w:val="en-US" w:eastAsia="zh-CN"/>
        </w:rPr>
        <w:t xml:space="preserve">及</w:t>
      </w:r>
      <w:r>
        <w:rPr>
          <w:rFonts w:hint="eastAsia" w:ascii="宋体" w:hAnsi="宋体" w:eastAsia="宋体" w:cs="宋体"/>
          <w:b/>
          <w:bCs/>
          <w:sz w:val="28"/>
          <w:szCs w:val="28"/>
          <w:highlight w:val="none"/>
        </w:rPr>
        <w:t xml:space="preserve">需满足的服务标准等要求：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1、日常维护</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（1)每日巡查，及时清理水面垃圾及杂物（垃圾及断草等)；</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（2)发现有市民放生行为时及时禁止。</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2、风机、水泵、曝气等设备维护保养</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（1)风机养护措施</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1)定期巡检曝气机及供电线路，巡检内容主要有：</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 观察设备是否正常启动；</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 观察运转是否正常（声音是否正常，水流水花是否正常，有无拥堵现象)；</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 仔细观察裸露或外置的电器电缆有无破损或异常，出现问题及时处理；</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 观察设备的固定有无松动情况；</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 观察压力表是否有较大变动；</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f. 及时清理曝气机周围漂浮物和垃圾，以免堵塞曝气机进气口，影响其正常工作。</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2)出现异常情况及时处理关联事项：</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 电器部分出现故障需立刻停机检修；</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 涉水的维护管理作业应立即停止，以防漏电等问题出现安全事故。</w:t>
      </w:r>
      <w:r/>
    </w:p>
    <w:p>
      <w:pPr>
        <w:ind w:left="239"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（2）水泵养护措施                                                              1)每次使用确保水泵在适合的介质中作业，水质浓度必须控制在小于1.1kg/L以内。黏稠状液体、带沙粒、水泥块的混合液体应避免进入泵体，否则极易导致机封磨损、电机负载。</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2)每月两次定期巡检水泵及供电线路，巡检内容主要有：</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a.观察设备是否正常启动；</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b.观察运转是否正常（声音是否正常，有无异常震动)；</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c.仔细观察裸露或外置的电器电缆有无破损或异常，出现问题及时处理；</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d.观察设备的固定有无松动情况；</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e.观察水泵出水水量是否正常，有明显衰减时应进行故障排查；</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f.定期检查水泵绕组与机壳之间的绝缘电阻是否正常。</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3、喷泉浮岛养护</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（1)日常巡查：每月巡检两次，检查浮岛有无破损、松散及链接扣有否掉落，及时清理附着在浮岛周围的杂物或垃圾；</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（2)浮岛因冲击或人为原因受到损坏时，依损坏程度进行修补或更换浮岛，同时补种植物；</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（3)浮岛链接扣破损、掉落或扎带破损，及时更换链接扣或扎带；</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（4)因水位涨落或其他原因而导致浮岛搁浅时，应及时将其推入水中复位；</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（5)台风、大风大雨天气及强泄洪前后2-3 天，检查浮岛的固定情况，如有脱落及时固定牢固；</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（6)定期刷洗喷泉管道系统喷头等机件，水泵吸水口要每月清洗，防止污物堵塞吸口，降低工效甚至造成设备损坏，喷泉管路要半年清洗，清洗时注意喷头立管，防止造成损坏；</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（7)喷泉电器设备要定期维护，半年要对柜子里的电器易损设备进行检测及做必要的维护。对喷泉设备维护人员进行专业培训的人员，电气设备维护人员还需持有专业上岗证书；</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（8)电气设备的维护检修应在切断电源的条件下进行，如特殊情况需要带电作业时，应做好安全防护措施，重要部位要设专人监护；</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（9)防水电缆的连接必须在无水的条件下进行，并用防水胶带、绝缘胶带、高压绝缘胶带进行三层防护；</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（10)为保证喷泉花型美观一致，要随时将变动角度的喷头进行复位，复位时禁止使用锐利物体敲击，防止喷头损坏。</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4、水生植物养护</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（1)检查有无病虫害；</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（2)检查植株是否拥挤，必要时可进行分株；</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（3)及时清除水中的杂草。</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5、人员及器具配置</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（1)人员配置</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养护工人需经相关业务培训，了解生态治理技术及水生植物习性，具备水生态维护管理专业知识。并做好相应运行维护记录，以便日后查阅。</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（2)器具配备（包括但不限于此)</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①船只：根据河道水生植物面积，自行配备适合作业的船只，用于打捞河道垃圾、装载垃圾、植物残体等，所有船均自行配备。</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②长杆网兜：网兜不宜过深，10—20cm左右深度即可。用于打捞水面或者水底垃圾及水生植物烂叶等。</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③长杆镰刀、磨刀石、枝剪（收割水生植物时，必须锋利)用于收割水生植物。</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④下水裤和水靴：用于水下作业，如补种水生植物等。</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⑤救生衣： 用于保证工作人员人身安全。</w:t>
      </w:r>
      <w:r/>
    </w:p>
    <w:p>
      <w:pPr>
        <w:ind w:left="0" w:firstLine="33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⑥设备、系统养护机具：机械设备常用工具和电工工具。（一字和十字螺丝批、试电笔、夹钳等。)</w:t>
      </w:r>
      <w:r/>
    </w:p>
    <w:p>
      <w:pPr>
        <w:ind w:firstLine="2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6、水质要求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确保每月水质稳定满足考核标准，同时保障好水质监测工作。</w:t>
      </w:r>
      <w:r/>
    </w:p>
    <w:p>
      <w:pP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六、采购标的的验收标准</w:t>
      </w:r>
      <w:r>
        <w:rPr>
          <w:rFonts w:hint="eastAsia" w:ascii="宋体" w:hAnsi="宋体" w:eastAsia="宋体" w:cs="宋体"/>
          <w:b/>
          <w:bCs/>
          <w:sz w:val="28"/>
          <w:szCs w:val="28"/>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eastAsia="宋体" w:cs="宋体"/>
          <w:sz w:val="24"/>
          <w:szCs w:val="24"/>
          <w:highlight w:val="none"/>
        </w:rPr>
        <w:t xml:space="preserve">满足国家相关法律法规及国家标准、行业标准、地方标准</w:t>
      </w:r>
      <w:r>
        <w:rPr>
          <w:rFonts w:hint="eastAsia" w:ascii="宋体" w:hAnsi="宋体" w:eastAsia="宋体" w:cs="宋体"/>
          <w:sz w:val="24"/>
          <w:szCs w:val="24"/>
          <w:highlight w:val="none"/>
          <w:lang w:eastAsia="zh-CN"/>
        </w:rPr>
        <w:t xml:space="preserve">，满足《</w:t>
      </w:r>
      <w:r>
        <w:rPr>
          <w:rFonts w:hint="eastAsia" w:ascii="宋体" w:hAnsi="宋体" w:eastAsia="宋体" w:cs="宋体"/>
          <w:sz w:val="24"/>
          <w:szCs w:val="24"/>
          <w:highlight w:val="none"/>
        </w:rPr>
        <w:t xml:space="preserve">地表水环境质量标准》(GB3838-2002)Ⅲ类标准及采购人的要求。</w:t>
      </w:r>
      <w:r/>
    </w:p>
    <w:p>
      <w:pPr>
        <w:jc w:val="center"/>
        <w:spacing w:line="360" w:lineRule="auto"/>
        <w:rPr>
          <w:rFonts w:ascii="黑体" w:eastAsia="黑体"/>
          <w:b/>
          <w:color w:val="auto"/>
          <w:sz w:val="36"/>
          <w:szCs w:val="36"/>
          <w:highlight w:val="none"/>
        </w:rPr>
        <w:outlineLvl w:val="0"/>
      </w:pPr>
      <w:r>
        <w:rPr>
          <w:rFonts w:ascii="黑体" w:eastAsia="黑体"/>
          <w:b/>
          <w:color w:val="auto"/>
          <w:sz w:val="36"/>
          <w:szCs w:val="36"/>
          <w:highlight w:val="none"/>
        </w:rPr>
        <w:br w:type="page" w:clear="all"/>
      </w:r>
      <w:r>
        <w:rPr>
          <w:rFonts w:hint="eastAsia" w:ascii="黑体" w:eastAsia="黑体"/>
          <w:b/>
          <w:color w:val="auto"/>
          <w:sz w:val="36"/>
          <w:szCs w:val="36"/>
          <w:highlight w:val="none"/>
        </w:rPr>
        <w:t xml:space="preserve">第四部分．合同书</w:t>
      </w:r>
      <w:r/>
    </w:p>
    <w:p>
      <w:pPr>
        <w:ind w:left="720" w:hanging="720"/>
        <w:jc w:val="center"/>
        <w:keepLines w:val="0"/>
        <w:keepNext/>
        <w:pageBreakBefore w:val="0"/>
        <w:spacing w:before="120" w:after="120" w:line="460" w:lineRule="exact"/>
        <w:widowControl/>
        <w:tabs>
          <w:tab w:val="left" w:pos="720" w:leader="none"/>
        </w:tabs>
        <w:rPr>
          <w:rFonts w:hint="eastAsia"/>
          <w:color w:val="auto"/>
          <w:highlight w:val="none"/>
          <w:lang w:val="en-US" w:eastAsia="zh-CN"/>
        </w:rPr>
        <w:outlineLvl w:val="2"/>
      </w:pPr>
      <w:r>
        <w:rPr>
          <w:rFonts w:hint="eastAsia" w:ascii="宋体" w:hAnsi="宋体" w:eastAsia="宋体" w:cs="宋体"/>
          <w:b/>
          <w:bCs/>
          <w:color w:val="auto"/>
          <w:sz w:val="28"/>
          <w:szCs w:val="28"/>
          <w:highlight w:val="none"/>
          <w:lang w:val="en-US" w:eastAsia="zh-CN" w:bidi="ar-SA"/>
        </w:rPr>
        <w:t xml:space="preserve">一、合同协议书</w:t>
      </w:r>
      <w:r/>
    </w:p>
    <w:p>
      <w:pPr>
        <w:ind w:firstLine="240"/>
        <w:keepLines w:val="0"/>
        <w:keepNext w:val="0"/>
        <w:pageBreakBefore w:val="0"/>
        <w:spacing w:line="460" w:lineRule="exact"/>
        <w:widowControl w:val="off"/>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需方（采购人）：</w:t>
      </w:r>
      <w:r>
        <w:rPr>
          <w:rFonts w:hint="eastAsia" w:ascii="仿宋" w:hAnsi="仿宋" w:eastAsia="仿宋" w:cs="仿宋"/>
          <w:bCs/>
          <w:color w:val="auto"/>
          <w:sz w:val="24"/>
          <w:szCs w:val="24"/>
          <w:highlight w:val="none"/>
          <w:u w:val="single"/>
        </w:rPr>
        <w:t xml:space="preserve">                 </w:t>
      </w:r>
      <w:r/>
    </w:p>
    <w:p>
      <w:pPr>
        <w:ind w:firstLine="240"/>
        <w:keepLines w:val="0"/>
        <w:keepNext w:val="0"/>
        <w:pageBreakBefore w:val="0"/>
        <w:spacing w:line="460" w:lineRule="exact"/>
        <w:widowControl w:val="off"/>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供方（中标方）：</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采购编号：</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采购内容：</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中标总金额：（大写）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；（小写）</w:t>
      </w:r>
      <w:r>
        <w:rPr>
          <w:rFonts w:hint="eastAsia" w:ascii="仿宋" w:hAnsi="仿宋" w:eastAsia="仿宋" w:cs="仿宋"/>
          <w:bCs/>
          <w:color w:val="auto"/>
          <w:sz w:val="24"/>
          <w:szCs w:val="24"/>
          <w:highlight w:val="none"/>
          <w:u w:val="single"/>
        </w:rPr>
        <w:t xml:space="preserve">          元</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质量和包装要求及验收标准：</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交货期或完工期：</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交货地点和方式：</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货款支付步骤和办法：</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售后服务：</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违约责任：</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解决争议的方式：</w:t>
      </w:r>
      <w:r>
        <w:rPr>
          <w:rFonts w:hint="eastAsia" w:ascii="仿宋" w:hAnsi="仿宋" w:eastAsia="仿宋" w:cs="仿宋"/>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其他事项</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26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合同不可分割部分：</w:t>
      </w:r>
      <w:r/>
    </w:p>
    <w:p>
      <w:pPr>
        <w:ind w:firstLine="480"/>
        <w:keepLines w:val="0"/>
        <w:keepNext w:val="0"/>
        <w:pageBreakBefore w:val="0"/>
        <w:spacing w:line="460" w:lineRule="exact"/>
        <w:widowControl w:val="off"/>
        <w:tabs>
          <w:tab w:val="left" w:pos="210" w:leader="none"/>
          <w:tab w:val="left" w:pos="420"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招标文件、</w:t>
      </w:r>
      <w:r>
        <w:rPr>
          <w:rFonts w:hint="eastAsia" w:ascii="仿宋" w:hAnsi="仿宋" w:eastAsia="仿宋" w:cs="仿宋"/>
          <w:bCs/>
          <w:color w:val="auto"/>
          <w:sz w:val="24"/>
          <w:szCs w:val="24"/>
          <w:highlight w:val="none"/>
          <w:lang w:eastAsia="zh-CN"/>
        </w:rPr>
        <w:t xml:space="preserve">响应文件</w:t>
      </w:r>
      <w:r>
        <w:rPr>
          <w:rFonts w:hint="eastAsia" w:ascii="仿宋" w:hAnsi="仿宋" w:eastAsia="仿宋" w:cs="仿宋"/>
          <w:bCs/>
          <w:color w:val="auto"/>
          <w:sz w:val="24"/>
          <w:szCs w:val="24"/>
          <w:highlight w:val="none"/>
        </w:rPr>
        <w:t xml:space="preserve">、合同条款及中标通知书，供方在投标、评标过程中所作</w:t>
      </w:r>
      <w:r>
        <w:rPr>
          <w:rFonts w:hint="eastAsia" w:ascii="仿宋" w:hAnsi="仿宋" w:eastAsia="仿宋" w:cs="仿宋"/>
          <w:bCs/>
          <w:color w:val="auto"/>
          <w:sz w:val="24"/>
          <w:szCs w:val="24"/>
          <w:highlight w:val="none"/>
          <w:lang w:eastAsia="zh-CN"/>
        </w:rPr>
        <w:t xml:space="preserve">其他有关</w:t>
      </w:r>
      <w:r>
        <w:rPr>
          <w:rFonts w:hint="eastAsia" w:ascii="仿宋" w:hAnsi="仿宋" w:eastAsia="仿宋" w:cs="仿宋"/>
          <w:bCs/>
          <w:color w:val="auto"/>
          <w:sz w:val="24"/>
          <w:szCs w:val="24"/>
          <w:highlight w:val="none"/>
        </w:rPr>
        <w:t xml:space="preserve">承诺、声明、书面澄清等均为合同不可分割的部分，与主合同具有同等法律效力。</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合同备案：</w:t>
      </w:r>
      <w:r/>
    </w:p>
    <w:p>
      <w:pPr>
        <w:ind w:firstLine="480"/>
        <w:keepLines w:val="0"/>
        <w:keepNext w:val="0"/>
        <w:pageBreakBefore w:val="0"/>
        <w:spacing w:line="460" w:lineRule="exact"/>
        <w:widowControl w:val="off"/>
        <w:tabs>
          <w:tab w:val="left" w:pos="210" w:leader="none"/>
          <w:tab w:val="left" w:pos="735"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合同一式</w:t>
      </w:r>
      <w:r>
        <w:rPr>
          <w:rFonts w:hint="eastAsia" w:ascii="仿宋" w:hAnsi="仿宋" w:eastAsia="仿宋" w:cs="仿宋"/>
          <w:bCs/>
          <w:color w:val="auto"/>
          <w:sz w:val="24"/>
          <w:szCs w:val="24"/>
          <w:highlight w:val="none"/>
          <w:lang w:eastAsia="zh-CN"/>
        </w:rPr>
        <w:t xml:space="preserve">伍</w:t>
      </w:r>
      <w:r>
        <w:rPr>
          <w:rFonts w:hint="eastAsia" w:ascii="仿宋" w:hAnsi="仿宋" w:eastAsia="仿宋" w:cs="仿宋"/>
          <w:bCs/>
          <w:color w:val="auto"/>
          <w:sz w:val="24"/>
          <w:szCs w:val="24"/>
          <w:highlight w:val="none"/>
        </w:rPr>
        <w:t xml:space="preserve">份，甲乙双方各执贰份，采购代理机构壹份。</w:t>
      </w:r>
      <w:r/>
    </w:p>
    <w:p>
      <w:pPr>
        <w:numPr>
          <w:ilvl w:val="0"/>
          <w:numId w:val="10"/>
        </w:numPr>
        <w:ind w:left="0" w:firstLine="523"/>
        <w:keepLines w:val="0"/>
        <w:keepNext w:val="0"/>
        <w:pageBreakBefore w:val="0"/>
        <w:spacing w:line="460" w:lineRule="exact"/>
        <w:widowControl w:val="off"/>
        <w:tabs>
          <w:tab w:val="left" w:pos="210" w:leader="none"/>
          <w:tab w:val="clear" w:pos="450" w:leader="none"/>
          <w:tab w:val="left" w:pos="840"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合同生效：</w:t>
      </w:r>
      <w:r/>
    </w:p>
    <w:p>
      <w:pPr>
        <w:ind w:firstLine="480"/>
        <w:keepLines w:val="0"/>
        <w:keepNext w:val="0"/>
        <w:pageBreakBefore w:val="0"/>
        <w:spacing w:line="460" w:lineRule="exact"/>
        <w:widowControl w:val="off"/>
        <w:tabs>
          <w:tab w:val="left" w:pos="210" w:leader="none"/>
          <w:tab w:val="left" w:pos="840"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本合同由供需双方签字、盖章，并经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江苏筑祁园工程管理咨询有限公司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见证后生效。</w:t>
      </w:r>
      <w:r/>
    </w:p>
    <w:p>
      <w:pPr>
        <w:keepLines w:val="0"/>
        <w:pageBreakBefore w:val="0"/>
        <w:spacing w:line="46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需方（采购人）：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（盖章）  供方（中标方）：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（盖章）</w:t>
      </w:r>
      <w:r/>
    </w:p>
    <w:p>
      <w:pPr>
        <w:keepLines w:val="0"/>
        <w:pageBreakBefore w:val="0"/>
        <w:spacing w:line="46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法定（授权）代表人：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法定（授权）代表人：</w:t>
      </w:r>
      <w:r>
        <w:rPr>
          <w:rFonts w:hint="eastAsia" w:ascii="仿宋" w:hAnsi="仿宋" w:eastAsia="仿宋" w:cs="仿宋"/>
          <w:bCs/>
          <w:color w:val="auto"/>
          <w:sz w:val="24"/>
          <w:szCs w:val="24"/>
          <w:highlight w:val="none"/>
          <w:u w:val="single"/>
        </w:rPr>
        <w:t xml:space="preserve">                 </w:t>
      </w:r>
      <w:r/>
    </w:p>
    <w:p>
      <w:pPr>
        <w:keepLines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  </w:t>
      </w:r>
      <w:r/>
    </w:p>
    <w:p>
      <w:pPr>
        <w:keepLines w:val="0"/>
        <w:pageBreakBefore w:val="0"/>
        <w:spacing w:line="46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见证方：</w:t>
      </w:r>
      <w:r>
        <w:rPr>
          <w:rFonts w:hint="eastAsia" w:ascii="仿宋" w:hAnsi="仿宋" w:eastAsia="仿宋" w:cs="仿宋"/>
          <w:bCs/>
          <w:color w:val="auto"/>
          <w:sz w:val="24"/>
          <w:szCs w:val="24"/>
          <w:highlight w:val="none"/>
          <w:u w:val="single"/>
        </w:rPr>
        <w:t xml:space="preserve">                （盖章）  </w:t>
      </w:r>
      <w:r>
        <w:rPr>
          <w:rFonts w:hint="eastAsia" w:ascii="仿宋" w:hAnsi="仿宋" w:eastAsia="仿宋" w:cs="仿宋"/>
          <w:bCs/>
          <w:color w:val="auto"/>
          <w:sz w:val="24"/>
          <w:szCs w:val="24"/>
          <w:highlight w:val="none"/>
        </w:rPr>
        <w:t xml:space="preserve">    供方户名：</w:t>
      </w:r>
      <w:r>
        <w:rPr>
          <w:rFonts w:hint="eastAsia" w:ascii="仿宋" w:hAnsi="仿宋" w:eastAsia="仿宋" w:cs="仿宋"/>
          <w:bCs/>
          <w:color w:val="auto"/>
          <w:sz w:val="24"/>
          <w:szCs w:val="24"/>
          <w:highlight w:val="none"/>
          <w:u w:val="single"/>
        </w:rPr>
        <w:t xml:space="preserve">                             </w:t>
      </w:r>
      <w:r/>
    </w:p>
    <w:p>
      <w:pPr>
        <w:keepLines w:val="0"/>
        <w:pageBreakBefore w:val="0"/>
        <w:spacing w:line="46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见证人：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供方开户银行：</w:t>
      </w:r>
      <w:r>
        <w:rPr>
          <w:rFonts w:hint="eastAsia" w:ascii="仿宋" w:hAnsi="仿宋" w:eastAsia="仿宋" w:cs="仿宋"/>
          <w:bCs/>
          <w:color w:val="auto"/>
          <w:sz w:val="24"/>
          <w:szCs w:val="24"/>
          <w:highlight w:val="none"/>
          <w:u w:val="single"/>
        </w:rPr>
        <w:t xml:space="preserve">                         </w:t>
      </w:r>
      <w:r/>
    </w:p>
    <w:p>
      <w:pPr>
        <w:keepLines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         供方账号：</w:t>
      </w:r>
      <w:r>
        <w:rPr>
          <w:rFonts w:hint="eastAsia" w:ascii="仿宋" w:hAnsi="仿宋" w:eastAsia="仿宋" w:cs="仿宋"/>
          <w:bCs/>
          <w:color w:val="auto"/>
          <w:sz w:val="24"/>
          <w:szCs w:val="24"/>
          <w:highlight w:val="none"/>
          <w:u w:val="single"/>
        </w:rPr>
        <w:t xml:space="preserve">                             </w:t>
      </w:r>
      <w:r/>
    </w:p>
    <w:p>
      <w:pPr>
        <w:keepLines w:val="0"/>
        <w:pageBreakBefore w:val="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
          <w:bCs/>
          <w:color w:val="auto"/>
          <w:sz w:val="24"/>
          <w:szCs w:val="24"/>
          <w:highlight w:val="none"/>
        </w:rPr>
        <w:t xml:space="preserve">备注：</w:t>
      </w:r>
      <w:r>
        <w:rPr>
          <w:rFonts w:hint="eastAsia" w:ascii="仿宋" w:hAnsi="仿宋" w:eastAsia="仿宋" w:cs="仿宋"/>
          <w:bCs/>
          <w:color w:val="auto"/>
          <w:sz w:val="24"/>
          <w:szCs w:val="24"/>
          <w:highlight w:val="none"/>
        </w:rPr>
        <w:t xml:space="preserve">供需双方必须以本格式文本，按照合同条款拟订合同</w:t>
      </w:r>
      <w:r/>
    </w:p>
    <w:p>
      <w:pPr>
        <w:ind w:left="720" w:hanging="720"/>
        <w:jc w:val="center"/>
        <w:keepLines w:val="0"/>
        <w:keepNext/>
        <w:pageBreakBefore w:val="0"/>
        <w:spacing w:before="120" w:after="120" w:line="460" w:lineRule="exact"/>
        <w:widowControl/>
        <w:tabs>
          <w:tab w:val="left" w:pos="720" w:leader="none"/>
        </w:tabs>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合同条款</w:t>
      </w:r>
      <w:r/>
    </w:p>
    <w:p>
      <w:pPr>
        <w:pStyle w:val="718"/>
        <w:ind w:left="0" w:firstLine="638"/>
        <w:jc w:val="both"/>
        <w:spacing w:beforeAutospacing="0" w:afterAutospacing="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根据编号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采购文件和该文件的中标通知书及供方投标文件，供需双方就此次招标及相关问题，同意按下列条款规定执行</w:t>
      </w:r>
      <w:r>
        <w:rPr>
          <w:rFonts w:hint="eastAsia" w:ascii="仿宋" w:hAnsi="仿宋" w:eastAsia="仿宋" w:cs="仿宋"/>
          <w:color w:val="auto"/>
          <w:sz w:val="24"/>
          <w:szCs w:val="24"/>
          <w:highlight w:val="none"/>
          <w:lang w:eastAsia="zh-CN"/>
        </w:rPr>
        <w:t xml:space="preserve">。</w:t>
      </w:r>
      <w:r/>
    </w:p>
    <w:p>
      <w:pPr>
        <w:pStyle w:val="709"/>
        <w:ind w:left="0" w:firstLine="641"/>
        <w:jc w:val="left"/>
        <w:spacing w:line="360" w:lineRule="auto"/>
        <w:tabs>
          <w:tab w:val="clear" w:pos="4153" w:leader="none"/>
          <w:tab w:val="clear" w:pos="8306" w:leader="none"/>
        </w:tabs>
        <w:rPr>
          <w:rFonts w:hint="eastAsia" w:ascii="仿宋" w:hAnsi="仿宋" w:eastAsia="仿宋" w:cs="仿宋"/>
          <w:b/>
          <w:bCs/>
          <w:color w:val="auto"/>
          <w:sz w:val="24"/>
          <w:szCs w:val="24"/>
          <w:highlight w:val="none"/>
        </w:rPr>
        <w:pBdr>
          <w:bottom w:val="none" w:color="auto" w:sz="0" w:space="0"/>
        </w:pBdr>
      </w:pPr>
      <w:r>
        <w:rPr>
          <w:rFonts w:hint="eastAsia" w:ascii="仿宋" w:hAnsi="仿宋" w:eastAsia="仿宋" w:cs="仿宋"/>
          <w:b/>
          <w:bCs/>
          <w:color w:val="auto"/>
          <w:sz w:val="24"/>
          <w:szCs w:val="24"/>
          <w:highlight w:val="none"/>
        </w:rPr>
        <w:t xml:space="preserve">一、项目概况</w:t>
      </w:r>
      <w:r/>
    </w:p>
    <w:p>
      <w:pPr>
        <w:ind w:left="0" w:firstLine="638"/>
        <w:spacing w:line="360" w:lineRule="auto"/>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1.1项目名称：</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东新河、蠡溪河等14条河道养护</w:t>
      </w:r>
      <w:r>
        <w:rPr>
          <w:rFonts w:hint="eastAsia" w:ascii="仿宋" w:hAnsi="仿宋" w:eastAsia="仿宋" w:cs="仿宋"/>
          <w:bCs/>
          <w:color w:val="auto"/>
          <w:sz w:val="24"/>
          <w:szCs w:val="24"/>
          <w:highlight w:val="none"/>
          <w:u w:val="single"/>
          <w:lang w:val="en-US" w:eastAsia="zh-CN"/>
        </w:rPr>
        <w:t xml:space="preserve">  </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1.2项目概况：</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蠡湖街道东新河、蠡溪河等14条河道养护。针对东新河、庙泾浜、连大桥浜、丁昌桥浜、蠡溪河、王巷浜、美湖浜、陆典桥浜、西新河、线泾浜、徐祥浜、新胡田庄浜，实施水面、岸脚、岸坡垃圾清理，进行设备养护、河道日常巡查、水质维护确保达标；新城河、黄家边浜水质维护确保水质达标。</w:t>
      </w:r>
      <w:r/>
    </w:p>
    <w:p>
      <w:pPr>
        <w:ind w:left="0" w:firstLine="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服务要求：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1.3.1养护质量标准：满足国家相关法律法规及国家标准、行业标准、地方标准，满足《地表水环境质量标准》(GB3838-2002)Ⅲ类标准及采购人的要求。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1.3.2河道养护要求：河道日常巡查，水面、岸脚、岸坡垃圾清理，确保河道水面无漂浮物，提防、岸线管护等工作，并负责垃圾的清运与消纳。</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1.3.3水体取样监测</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水质标准：按照溶解氧，高锰酸盐指数，氨氮（NH3—N），化学需氧量，总磷（TP）五项指标对全年12个月28个点位的水质情况每周一次进行监测，并提供水质检测结果。</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1.3.4水质目标</w:t>
      </w:r>
      <w:r/>
    </w:p>
    <w:p>
      <w:pPr>
        <w:ind w:firstLine="480"/>
        <w:spacing w:line="360" w:lineRule="auto"/>
        <w:rPr>
          <w:rFonts w:hint="eastAsia" w:ascii="宋体" w:hAnsi="宋体" w:eastAsia="宋体" w:cs="宋体"/>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水质目标：年平均水质，达到Ⅲ类水质等级。</w:t>
      </w:r>
      <w:r/>
    </w:p>
    <w:tbl>
      <w:tblPr>
        <w:tblStyle w:val="691"/>
        <w:tblW w:w="88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55"/>
        <w:gridCol w:w="2252"/>
        <w:gridCol w:w="1876"/>
        <w:gridCol w:w="1755"/>
        <w:gridCol w:w="1921"/>
      </w:tblGrid>
      <w:tr>
        <w:trPr>
          <w:jc w:val="center"/>
          <w:trHeight w:val="617"/>
        </w:trPr>
        <w:tc>
          <w:tcPr>
            <w:tcBorders>
              <w:top w:val="single" w:color="auto" w:sz="4" w:space="0"/>
              <w:left w:val="single" w:color="auto" w:sz="4" w:space="0"/>
              <w:right w:val="single" w:color="auto" w:sz="4" w:space="0"/>
            </w:tcBorders>
            <w:tcW w:w="1055"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right w:val="single" w:color="auto" w:sz="4" w:space="0"/>
            </w:tcBorders>
            <w:tcW w:w="2252"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指标</w:t>
            </w:r>
            <w:r/>
          </w:p>
        </w:tc>
        <w:tc>
          <w:tcPr>
            <w:gridSpan w:val="3"/>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水质目标</w:t>
            </w:r>
            <w:r/>
          </w:p>
        </w:tc>
      </w:tr>
      <w:tr>
        <w:trPr>
          <w:jc w:val="center"/>
          <w:trHeight w:val="617"/>
        </w:trPr>
        <w:tc>
          <w:tcPr>
            <w:tcBorders>
              <w:left w:val="single" w:color="auto" w:sz="4" w:space="0"/>
              <w:bottom w:val="single" w:color="auto" w:sz="4" w:space="0"/>
              <w:right w:val="single" w:color="auto" w:sz="4" w:space="0"/>
            </w:tcBorders>
            <w:tcW w:w="105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2252"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ROMAN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III</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Ⅳ类</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V类</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化学需氧量</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≤40mg/L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氨氮</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≤1.5mg/L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总磷</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≤0.2mg/L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≤0.3mg/L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≤0.4mg/L</w:t>
            </w:r>
            <w:r/>
          </w:p>
        </w:tc>
      </w:tr>
      <w:tr>
        <w:trPr>
          <w:jc w:val="center"/>
          <w:trHeight w:val="61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溶解氧</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≥5.0mg/L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≥2.0mg/L</w:t>
            </w:r>
            <w:r/>
          </w:p>
        </w:tc>
      </w:tr>
      <w:tr>
        <w:trPr>
          <w:jc w:val="center"/>
          <w:trHeight w:val="627"/>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高锰酸盐指数</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≤6mg/L</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≤15mg/L</w:t>
            </w:r>
            <w:r/>
          </w:p>
        </w:tc>
      </w:tr>
    </w:tbl>
    <w:p>
      <w:pPr>
        <w:ind w:left="0" w:firstLine="641"/>
        <w:spacing w:before="156" w:after="156" w:line="360" w:lineRule="auto"/>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pStyle w:val="709"/>
        <w:ind w:left="0" w:firstLine="641"/>
        <w:jc w:val="left"/>
        <w:spacing w:line="360" w:lineRule="auto"/>
        <w:tabs>
          <w:tab w:val="clear" w:pos="4153" w:leader="none"/>
          <w:tab w:val="clear" w:pos="8306" w:leader="none"/>
        </w:tabs>
        <w:rPr>
          <w:rFonts w:hint="eastAsia" w:ascii="仿宋" w:hAnsi="仿宋" w:eastAsia="仿宋" w:cs="仿宋"/>
          <w:b/>
          <w:bCs/>
          <w:color w:val="auto"/>
          <w:sz w:val="24"/>
          <w:szCs w:val="24"/>
          <w:highlight w:val="none"/>
          <w:lang w:val="en-US" w:eastAsia="zh-CN"/>
        </w:rPr>
        <w:pBdr>
          <w:bottom w:val="none" w:color="auto" w:sz="0" w:space="0"/>
        </w:pBd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val="en-US" w:eastAsia="zh-CN"/>
        </w:rPr>
        <w:t xml:space="preserve">项目内容</w:t>
      </w:r>
      <w:r/>
    </w:p>
    <w:p>
      <w:pPr>
        <w:ind w:left="0" w:firstLine="638"/>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2.1维护项目内容：</w:t>
      </w:r>
      <w:r>
        <w:rPr>
          <w:rFonts w:hint="eastAsia" w:ascii="仿宋" w:hAnsi="仿宋" w:eastAsia="仿宋" w:cs="仿宋"/>
          <w:color w:val="auto"/>
          <w:sz w:val="24"/>
          <w:szCs w:val="24"/>
          <w:highlight w:val="none"/>
          <w:u w:val="single"/>
        </w:rPr>
        <w:t xml:space="preserve">                                 </w:t>
      </w:r>
      <w:r/>
    </w:p>
    <w:p>
      <w:pPr>
        <w:pStyle w:val="709"/>
        <w:ind w:left="0" w:firstLine="638"/>
        <w:jc w:val="left"/>
        <w:spacing w:line="360" w:lineRule="auto"/>
        <w:tabs>
          <w:tab w:val="clear" w:pos="4153" w:leader="none"/>
          <w:tab w:val="clear" w:pos="8306" w:leader="none"/>
        </w:tabs>
        <w:rPr>
          <w:rFonts w:hint="eastAsia" w:ascii="仿宋" w:hAnsi="仿宋" w:eastAsia="仿宋" w:cs="仿宋"/>
          <w:color w:val="auto"/>
          <w:sz w:val="24"/>
          <w:szCs w:val="24"/>
          <w:highlight w:val="none"/>
          <w:u w:val="single"/>
        </w:rPr>
        <w:pBdr>
          <w:bottom w:val="none" w:color="auto" w:sz="0" w:space="0"/>
        </w:pBdr>
      </w:pPr>
      <w:r>
        <w:rPr>
          <w:rFonts w:hint="eastAsia" w:ascii="仿宋" w:hAnsi="仿宋" w:eastAsia="仿宋" w:cs="仿宋"/>
          <w:color w:val="auto"/>
          <w:sz w:val="24"/>
          <w:szCs w:val="24"/>
          <w:highlight w:val="none"/>
        </w:rPr>
        <w:t xml:space="preserve">2.2 服务期：</w:t>
      </w:r>
      <w:r>
        <w:rPr>
          <w:rFonts w:hint="eastAsia" w:ascii="仿宋" w:hAnsi="仿宋" w:eastAsia="仿宋" w:cs="仿宋"/>
          <w:color w:val="auto"/>
          <w:sz w:val="24"/>
          <w:szCs w:val="24"/>
          <w:highlight w:val="none"/>
          <w:u w:val="single"/>
        </w:rPr>
        <w:t xml:space="preserve">                                    </w:t>
      </w:r>
      <w:r/>
    </w:p>
    <w:p>
      <w:pPr>
        <w:pStyle w:val="709"/>
        <w:ind w:left="0" w:firstLine="641"/>
        <w:jc w:val="left"/>
        <w:spacing w:line="360" w:lineRule="auto"/>
        <w:tabs>
          <w:tab w:val="clear" w:pos="4153" w:leader="none"/>
          <w:tab w:val="clear" w:pos="8306" w:leader="none"/>
        </w:tabs>
        <w:rPr>
          <w:rFonts w:hint="eastAsia" w:ascii="仿宋" w:hAnsi="仿宋" w:eastAsia="仿宋" w:cs="仿宋"/>
          <w:b/>
          <w:bCs/>
          <w:color w:val="auto"/>
          <w:sz w:val="24"/>
          <w:szCs w:val="24"/>
          <w:highlight w:val="none"/>
          <w:lang w:val="en-US" w:eastAsia="zh-CN"/>
        </w:rPr>
        <w:pBdr>
          <w:bottom w:val="none" w:color="auto" w:sz="0" w:space="0"/>
        </w:pBdr>
      </w:pPr>
      <w:r>
        <w:rPr>
          <w:rFonts w:hint="eastAsia" w:ascii="仿宋" w:hAnsi="仿宋" w:eastAsia="仿宋" w:cs="仿宋"/>
          <w:b/>
          <w:bCs/>
          <w:color w:val="auto"/>
          <w:sz w:val="24"/>
          <w:szCs w:val="24"/>
          <w:highlight w:val="none"/>
        </w:rPr>
        <w:t xml:space="preserve">三、</w:t>
      </w:r>
      <w:r>
        <w:rPr>
          <w:rFonts w:hint="eastAsia" w:ascii="仿宋" w:hAnsi="仿宋" w:eastAsia="仿宋" w:cs="仿宋"/>
          <w:b/>
          <w:bCs/>
          <w:color w:val="auto"/>
          <w:sz w:val="24"/>
          <w:szCs w:val="24"/>
          <w:highlight w:val="none"/>
          <w:lang w:val="en-US" w:eastAsia="zh-CN"/>
        </w:rPr>
        <w:t xml:space="preserve">合同金额及付款方式</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.1合同金额：本合同金额根据本合同中约定的水体面积计算，年维护费用合计</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638"/>
        <w:spacing w:line="360" w:lineRule="auto"/>
        <w:rPr>
          <w:rFonts w:hint="eastAsia" w:ascii="仿宋" w:hAnsi="仿宋" w:eastAsia="仿宋" w:cs="仿宋"/>
          <w:color w:val="auto"/>
          <w:sz w:val="24"/>
          <w:szCs w:val="24"/>
          <w:highlight w:val="none"/>
          <w:shd w:val="clear" w:color="auto"/>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.2付款方式：</w:t>
      </w:r>
      <w:r>
        <w:rPr>
          <w:rFonts w:hint="eastAsia" w:ascii="仿宋" w:hAnsi="仿宋" w:eastAsia="仿宋" w:cs="仿宋"/>
          <w:color w:val="auto"/>
          <w:sz w:val="24"/>
          <w:szCs w:val="24"/>
          <w:highlight w:val="none"/>
          <w:shd w:val="clear" w:color="auto"/>
        </w:rPr>
        <w:t xml:space="preserve">合同签订生效后，一周内付至合同价的10%，维护期满半年之日起一周内，甲方向乙方支付至合同价的50%，维护期届满之日起一周内，甲方支付剩余的费用。（服务费支付前乙方向甲方提供对应金额的技术服务发票）</w:t>
      </w:r>
      <w:r/>
    </w:p>
    <w:p>
      <w:pPr>
        <w:ind w:left="0" w:firstLine="638"/>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 本合同约定的维护期满后，乙方同意上述价格以国家公布的上一年CPI指数调整后单价，作为项目上述约定的维护期满后的维护价格。若甲方选择以此价格要求乙方提供维护服务，乙方不得以任何理由拒绝。</w:t>
      </w:r>
      <w:r/>
    </w:p>
    <w:p>
      <w:pPr>
        <w:ind w:left="0" w:firstLine="641"/>
        <w:spacing w:before="156" w:after="156"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、甲方责任</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.1甲方负责协调物业管理、居民，确保不影响维护工作；</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未经乙方从技术上认同，甲方不能在乙方维护的生态修复水域内投放或饲养动植物。</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.3甲方需帮助乙方协调和其他施工单位的交叉作业等问题(如有)，确保其他施工单位不将施工污染物（如泥浆、石灰水、油、水泥浆、工程扬尘、化学污染物及生活污水等）排入乙方维护水体内；</w:t>
      </w:r>
      <w:r/>
    </w:p>
    <w:p>
      <w:pPr>
        <w:ind w:left="0" w:firstLine="63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.4甲方允许乙方在项目维护期间带领客户到本项目现场参观学习。</w:t>
      </w:r>
      <w:r/>
    </w:p>
    <w:p>
      <w:pPr>
        <w:ind w:left="0" w:firstLine="641"/>
        <w:spacing w:before="156" w:after="156"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、乙方责任</w:t>
      </w:r>
      <w:r/>
    </w:p>
    <w:p>
      <w:pPr>
        <w:ind w:left="0" w:firstLine="638"/>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.1乙方负责在维护期内对水质进行的处理、接受甲方及其物管人员对水面的监管。</w:t>
      </w:r>
      <w:r/>
    </w:p>
    <w:p>
      <w:pPr>
        <w:ind w:left="0" w:firstLine="638"/>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.2如发生水草病害等原因需要补种的，均由乙方负责。</w:t>
      </w:r>
      <w:r/>
    </w:p>
    <w:p>
      <w:pPr>
        <w:ind w:left="0" w:firstLine="638"/>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另注：</w:t>
      </w:r>
      <w:r/>
    </w:p>
    <w:p>
      <w:pPr>
        <w:ind w:left="0" w:firstLine="638"/>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在维护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r/>
    </w:p>
    <w:p>
      <w:pPr>
        <w:ind w:left="0" w:firstLine="641"/>
        <w:spacing w:line="360" w:lineRule="auto"/>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、知识产权保护</w:t>
      </w:r>
      <w:r/>
    </w:p>
    <w:p>
      <w:pPr>
        <w:ind w:left="0" w:firstLine="638"/>
        <w:spacing w:line="360" w:lineRule="auto"/>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.1 本项目所采用的技术方案为乙方所有，甲方不得复制该技术方案，亦不得将该技术方案告知任何第三方，为实现本协议目的的除外。</w:t>
      </w:r>
      <w:r/>
    </w:p>
    <w:p>
      <w:pPr>
        <w:ind w:left="0" w:firstLine="638"/>
        <w:spacing w:line="360" w:lineRule="auto"/>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.2 乙方用于本工程的所有材料仅为本工程服务和甲方关联企业开发项目服务，甲方不得以任何方式提取样本用于进行科学研究等与本协议约定不符的用途。</w:t>
      </w:r>
      <w:r/>
    </w:p>
    <w:p>
      <w:pPr>
        <w:ind w:left="0" w:firstLine="638"/>
        <w:spacing w:line="360" w:lineRule="auto"/>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.3本合同涉及的内容甲乙双方均有保密的义务。</w:t>
      </w:r>
      <w:r/>
    </w:p>
    <w:p>
      <w:pPr>
        <w:ind w:left="0" w:firstLine="641"/>
        <w:spacing w:line="360" w:lineRule="auto"/>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、合同生效   </w:t>
      </w:r>
      <w:r/>
    </w:p>
    <w:p>
      <w:pPr>
        <w:ind w:left="0" w:firstLine="63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left="0" w:firstLine="638"/>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.2合同订立地点：</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left="0" w:firstLine="63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.3本合同双方约定</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，见证方盖章后生效。</w:t>
      </w:r>
      <w:r/>
    </w:p>
    <w:p>
      <w:pPr>
        <w:ind w:left="0" w:firstLine="6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、合同份数</w:t>
      </w:r>
      <w:r/>
    </w:p>
    <w:p>
      <w:pPr>
        <w:ind w:left="0" w:firstLine="638"/>
        <w:spacing w:line="440" w:lineRule="exact"/>
        <w:tabs>
          <w:tab w:val="left" w:pos="210" w:leader="none"/>
          <w:tab w:val="left" w:pos="735" w:leader="none"/>
          <w:tab w:val="left" w:pos="1155" w:leader="none"/>
        </w:tabs>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本合</w:t>
      </w:r>
      <w:r>
        <w:rPr>
          <w:rFonts w:hint="eastAsia" w:ascii="仿宋" w:hAnsi="仿宋" w:eastAsia="仿宋" w:cs="仿宋"/>
          <w:bCs/>
          <w:color w:val="auto"/>
          <w:sz w:val="24"/>
          <w:szCs w:val="24"/>
          <w:highlight w:val="none"/>
        </w:rPr>
        <w:t xml:space="preserve">同一式</w:t>
      </w:r>
      <w:r>
        <w:rPr>
          <w:rFonts w:hint="eastAsia" w:ascii="仿宋" w:hAnsi="仿宋" w:eastAsia="仿宋" w:cs="仿宋"/>
          <w:bCs/>
          <w:color w:val="auto"/>
          <w:sz w:val="24"/>
          <w:szCs w:val="24"/>
          <w:highlight w:val="none"/>
          <w:lang w:eastAsia="zh-CN"/>
        </w:rPr>
        <w:t xml:space="preserve">伍</w:t>
      </w:r>
      <w:r>
        <w:rPr>
          <w:rFonts w:hint="eastAsia" w:ascii="仿宋" w:hAnsi="仿宋" w:eastAsia="仿宋" w:cs="仿宋"/>
          <w:bCs/>
          <w:color w:val="auto"/>
          <w:sz w:val="24"/>
          <w:szCs w:val="24"/>
          <w:highlight w:val="none"/>
        </w:rPr>
        <w:t xml:space="preserve">份，供需双方各执二份，</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，见证方一份。</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方：（公章）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乙        方：（公章）</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地        址：</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法定代表人：（签字）</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人：（签字）</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联  系  人：（签字）</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电        话：</w:t>
      </w:r>
      <w:r/>
    </w:p>
    <w:p>
      <w:pPr>
        <w:ind w:left="0" w:firstLine="638"/>
        <w:spacing w:line="440" w:lineRule="exact"/>
        <w:tabs>
          <w:tab w:val="left" w:pos="47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传        真：</w:t>
      </w:r>
      <w:r/>
    </w:p>
    <w:p>
      <w:pPr>
        <w:ind w:left="0" w:firstLine="63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                       年   月   日</w:t>
      </w:r>
      <w:r/>
    </w:p>
    <w:p>
      <w:pPr>
        <w:ind w:left="0" w:firstLine="638"/>
        <w:spacing w:line="44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见证方：                （盖章）          供方户名：</w:t>
      </w:r>
      <w:r>
        <w:rPr>
          <w:rFonts w:hint="eastAsia" w:ascii="仿宋" w:hAnsi="仿宋" w:eastAsia="仿宋" w:cs="仿宋"/>
          <w:bCs/>
          <w:color w:val="auto"/>
          <w:sz w:val="24"/>
          <w:szCs w:val="24"/>
          <w:highlight w:val="none"/>
          <w:u w:val="single"/>
        </w:rPr>
        <w:t xml:space="preserve">                             </w:t>
      </w:r>
      <w:r/>
    </w:p>
    <w:p>
      <w:pPr>
        <w:ind w:left="0" w:firstLine="638"/>
        <w:spacing w:line="44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                                          供方开户银行：</w:t>
      </w:r>
      <w:r>
        <w:rPr>
          <w:rFonts w:hint="eastAsia" w:ascii="仿宋" w:hAnsi="仿宋" w:eastAsia="仿宋" w:cs="仿宋"/>
          <w:bCs/>
          <w:color w:val="auto"/>
          <w:sz w:val="24"/>
          <w:szCs w:val="24"/>
          <w:highlight w:val="none"/>
          <w:u w:val="single"/>
        </w:rPr>
        <w:t xml:space="preserve">                         </w:t>
      </w:r>
      <w:r/>
    </w:p>
    <w:p>
      <w:pPr>
        <w:ind w:left="0" w:firstLine="638"/>
        <w:spacing w:line="44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   供方帐号：</w:t>
      </w:r>
      <w:r>
        <w:rPr>
          <w:rFonts w:hint="eastAsia" w:ascii="仿宋" w:hAnsi="仿宋" w:eastAsia="仿宋" w:cs="仿宋"/>
          <w:bCs/>
          <w:color w:val="auto"/>
          <w:sz w:val="24"/>
          <w:szCs w:val="24"/>
          <w:highlight w:val="none"/>
          <w:u w:val="single"/>
        </w:rPr>
        <w:t xml:space="preserve">                             </w:t>
      </w:r>
      <w:r/>
    </w:p>
    <w:p>
      <w:pPr>
        <w:ind w:left="0" w:firstLine="638"/>
        <w:jc w:val="left"/>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
          <w:bCs/>
          <w:color w:val="auto"/>
          <w:sz w:val="24"/>
          <w:szCs w:val="24"/>
          <w:highlight w:val="none"/>
        </w:rPr>
        <w:t xml:space="preserve">备注：</w:t>
      </w:r>
      <w:r>
        <w:rPr>
          <w:rFonts w:hint="eastAsia" w:ascii="仿宋" w:hAnsi="仿宋" w:eastAsia="仿宋" w:cs="仿宋"/>
          <w:bCs/>
          <w:color w:val="auto"/>
          <w:sz w:val="24"/>
          <w:szCs w:val="24"/>
          <w:highlight w:val="none"/>
        </w:rPr>
        <w:t xml:space="preserve">供需双方必须以本格式文本，按照合同条款拟订合同。</w:t>
      </w:r>
      <w:r/>
    </w:p>
    <w:p>
      <w:pPr>
        <w:pStyle w:val="932"/>
        <w:ind w:left="0"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32"/>
        <w:ind w:left="0"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eastAsia="zh-CN"/>
        </w:rPr>
        <w:t xml:space="preserve">无锡市滨湖区蠡湖街道办事处</w:t>
      </w:r>
      <w:r>
        <w:rPr>
          <w:rFonts w:hint="eastAsia" w:ascii="仿宋" w:hAnsi="仿宋" w:eastAsia="仿宋" w:cs="仿宋"/>
          <w:color w:val="auto"/>
          <w:sz w:val="24"/>
          <w:szCs w:val="24"/>
          <w:highlight w:val="none"/>
        </w:rPr>
        <w:t xml:space="preserve">管辖通航河道日常环卫综合保洁工作打分表</w:t>
      </w:r>
      <w:r/>
    </w:p>
    <w:tbl>
      <w:tblPr>
        <w:tblStyle w:val="691"/>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504"/>
        <w:gridCol w:w="1458"/>
        <w:gridCol w:w="4278"/>
        <w:gridCol w:w="579"/>
        <w:gridCol w:w="2583"/>
        <w:gridCol w:w="730"/>
      </w:tblGrid>
      <w:tr>
        <w:trPr>
          <w:trHeight w:val="270"/>
        </w:trPr>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left"/>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考核内容</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考核标准</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分值</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考核细则</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b/>
                <w:bCs/>
                <w:color w:val="000000"/>
                <w:sz w:val="22"/>
                <w:szCs w:val="22"/>
                <w:lang w:eastAsia="zh-CN"/>
              </w:rPr>
            </w:pPr>
            <w:r>
              <w:rPr>
                <w:rFonts w:hint="eastAsia" w:ascii="仿宋" w:hAnsi="仿宋" w:eastAsia="仿宋" w:cs="仿宋"/>
                <w:b/>
                <w:bCs/>
                <w:color w:val="000000"/>
                <w:sz w:val="22"/>
                <w:szCs w:val="22"/>
                <w:lang w:val="en-US" w:eastAsia="zh-CN"/>
              </w:rPr>
              <w:t xml:space="preserve">得分</w:t>
            </w:r>
            <w:r/>
          </w:p>
        </w:tc>
      </w:tr>
      <w:tr>
        <w:trPr>
          <w:trHeight w:val="810"/>
        </w:trPr>
        <w:tc>
          <w:tcPr>
            <w:tcBorders>
              <w:top w:val="single" w:color="000000" w:sz="4" w:space="0"/>
              <w:left w:val="single" w:color="000000" w:sz="4" w:space="0"/>
              <w:right w:val="single" w:color="000000" w:sz="4" w:space="0"/>
            </w:tcBorders>
            <w:tcW w:w="248" w:type="pct"/>
            <w:vAlign w:val="center"/>
            <w:vMerge w:val="restart"/>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w:t>
            </w:r>
            <w:r/>
          </w:p>
        </w:tc>
        <w:tc>
          <w:tcPr>
            <w:tcBorders>
              <w:top w:val="single" w:color="000000" w:sz="4" w:space="0"/>
              <w:left w:val="single" w:color="000000" w:sz="4" w:space="0"/>
              <w:right w:val="single" w:color="000000" w:sz="4" w:space="0"/>
            </w:tcBorders>
            <w:tcW w:w="719" w:type="pct"/>
            <w:vAlign w:val="center"/>
            <w:vMerge w:val="restart"/>
            <w:textDirection w:val="lrTb"/>
            <w:noWrap w:val="false"/>
          </w:tcPr>
          <w:p>
            <w:pPr>
              <w:jc w:val="center"/>
              <w:widowControl/>
              <w:rPr>
                <w:rFonts w:hint="eastAsia" w:ascii="仿宋" w:hAnsi="仿宋" w:eastAsia="仿宋" w:cs="仿宋"/>
                <w:lang w:eastAsia="zh-CN"/>
              </w:rPr>
            </w:pPr>
            <w:r>
              <w:rPr>
                <w:rFonts w:hint="eastAsia" w:ascii="仿宋" w:hAnsi="仿宋" w:eastAsia="仿宋" w:cs="仿宋"/>
                <w:color w:val="000000"/>
                <w:sz w:val="22"/>
                <w:szCs w:val="22"/>
                <w:lang w:eastAsia="zh-CN"/>
              </w:rPr>
              <w:t xml:space="preserve">生态浮岛、沉水植物及挺水植物修剪、养护、更换</w:t>
            </w:r>
            <w:r>
              <w:rPr>
                <w:rFonts w:hint="eastAsia" w:ascii="仿宋" w:hAnsi="仿宋" w:eastAsia="仿宋" w:cs="仿宋"/>
                <w:color w:val="000000"/>
                <w:sz w:val="22"/>
                <w:szCs w:val="22"/>
              </w:rPr>
              <w:br/>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en-US" w:eastAsia="zh-CN"/>
              </w:rPr>
              <w:t xml:space="preserve">30</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1、生态浮岛每周两次巡查，破损、松散及链接扣掉落修补，及时清理附着在浮岛周围的杂物或垃圾</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每发现一处（次）扣</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270"/>
        </w:trPr>
        <w:tc>
          <w:tcPr>
            <w:tcBorders>
              <w:left w:val="single" w:color="000000" w:sz="4" w:space="0"/>
              <w:right w:val="single" w:color="000000" w:sz="4" w:space="0"/>
            </w:tcBorders>
            <w:tcW w:w="248"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left w:val="single" w:color="000000" w:sz="4" w:space="0"/>
              <w:right w:val="single" w:color="000000" w:sz="4" w:space="0"/>
            </w:tcBorders>
            <w:tcW w:w="719"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jc w:val="left"/>
              <w:widowControl/>
              <w:rPr>
                <w:rFonts w:hint="eastAsia" w:ascii="仿宋" w:hAnsi="仿宋" w:eastAsia="仿宋" w:cs="仿宋"/>
                <w:lang w:eastAsia="zh-CN"/>
              </w:rPr>
            </w:pPr>
            <w:r>
              <w:rPr>
                <w:rFonts w:hint="eastAsia" w:ascii="仿宋" w:hAnsi="仿宋" w:eastAsia="仿宋" w:cs="仿宋"/>
                <w:color w:val="000000"/>
                <w:sz w:val="22"/>
                <w:szCs w:val="22"/>
                <w:lang w:val="en-US" w:eastAsia="zh-CN"/>
              </w:rPr>
              <w:t xml:space="preserve">2、沉水植物长势良好，每年至少修剪一次。</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每发现一处（次）扣1分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270"/>
        </w:trPr>
        <w:tc>
          <w:tcPr>
            <w:tcBorders>
              <w:left w:val="single" w:color="000000" w:sz="4" w:space="0"/>
              <w:bottom w:val="single" w:color="000000" w:sz="4" w:space="0"/>
              <w:right w:val="single" w:color="000000" w:sz="4" w:space="0"/>
            </w:tcBorders>
            <w:tcW w:w="248"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left w:val="single" w:color="000000" w:sz="4" w:space="0"/>
              <w:bottom w:val="single" w:color="000000" w:sz="4" w:space="0"/>
              <w:right w:val="single" w:color="000000" w:sz="4" w:space="0"/>
            </w:tcBorders>
            <w:tcW w:w="719"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3、挺水植物每周两次巡查，及时修剪，清理；每半月巡查一次生长情况，及时补种。</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每发现一处（次）扣</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746"/>
        </w:trPr>
        <w:tc>
          <w:tcPr>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19" w:type="pct"/>
            <w:vAlign w:val="center"/>
            <w:vMerge w:val="restart"/>
            <w:textDirection w:val="lrTb"/>
            <w:noWrap w:val="false"/>
          </w:tcPr>
          <w:p>
            <w:pPr>
              <w:jc w:val="center"/>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设施维护</w:t>
            </w:r>
            <w:r>
              <w:rPr>
                <w:rFonts w:hint="eastAsia" w:ascii="仿宋" w:hAnsi="仿宋" w:eastAsia="仿宋" w:cs="仿宋"/>
                <w:color w:val="000000"/>
                <w:sz w:val="22"/>
                <w:szCs w:val="22"/>
              </w:rPr>
              <w:br/>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en-US" w:eastAsia="zh-CN"/>
              </w:rPr>
              <w:t xml:space="preserve">20</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eastAsia="zh-CN"/>
              </w:rPr>
              <w:t xml:space="preserve">喷泉曝气、沉水风机、罗茨风机、推流曝气、离子发生器等设备</w:t>
            </w:r>
            <w:r>
              <w:rPr>
                <w:rFonts w:hint="eastAsia" w:ascii="仿宋" w:hAnsi="仿宋" w:eastAsia="仿宋" w:cs="仿宋"/>
                <w:color w:val="000000"/>
                <w:sz w:val="22"/>
                <w:szCs w:val="22"/>
              </w:rPr>
              <w:t xml:space="preserve">定期进行养护，</w:t>
            </w:r>
            <w:r>
              <w:rPr>
                <w:rFonts w:hint="eastAsia" w:ascii="仿宋" w:hAnsi="仿宋" w:eastAsia="仿宋" w:cs="仿宋"/>
                <w:color w:val="000000"/>
                <w:sz w:val="22"/>
                <w:szCs w:val="22"/>
                <w:lang w:val="en-US" w:eastAsia="zh-CN"/>
              </w:rPr>
              <w:t xml:space="preserve">发现故障及时上报并维修</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未正常养护无法使用，每次扣1分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521"/>
        </w:trPr>
        <w:tc>
          <w:tcPr>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19" w:type="pct"/>
            <w:vAlign w:val="center"/>
            <w:vMerge w:val="continue"/>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eastAsia="zh-CN"/>
              </w:rPr>
              <w:t xml:space="preserve">配电柜定期</w:t>
            </w:r>
            <w:r>
              <w:rPr>
                <w:rFonts w:hint="eastAsia" w:ascii="仿宋" w:hAnsi="仿宋" w:eastAsia="仿宋" w:cs="仿宋"/>
                <w:color w:val="000000"/>
                <w:sz w:val="22"/>
                <w:szCs w:val="22"/>
              </w:rPr>
              <w:t xml:space="preserve">检修电路</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rPr>
              <w:t xml:space="preserve">电器控制柜及时上锁</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发现故障及时上报并维修</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发现电器柜未及时上锁，</w:t>
            </w:r>
            <w:r>
              <w:rPr>
                <w:rFonts w:hint="eastAsia" w:ascii="仿宋" w:hAnsi="仿宋" w:eastAsia="仿宋" w:cs="仿宋"/>
                <w:color w:val="000000"/>
                <w:sz w:val="22"/>
                <w:szCs w:val="22"/>
                <w:lang w:val="en-US" w:eastAsia="zh-CN"/>
              </w:rPr>
              <w:t xml:space="preserve">未及时上报并维修，</w:t>
            </w:r>
            <w:r>
              <w:rPr>
                <w:rFonts w:hint="eastAsia" w:ascii="仿宋" w:hAnsi="仿宋" w:eastAsia="仿宋" w:cs="仿宋"/>
                <w:color w:val="000000"/>
                <w:sz w:val="22"/>
                <w:szCs w:val="22"/>
              </w:rPr>
              <w:t xml:space="preserve">每次扣1分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341"/>
        </w:trPr>
        <w:tc>
          <w:tcPr>
            <w:tcBorders>
              <w:top w:val="single" w:color="000000" w:sz="4" w:space="0"/>
              <w:left w:val="single" w:color="000000" w:sz="4" w:space="0"/>
              <w:right w:val="single" w:color="000000" w:sz="4" w:space="0"/>
            </w:tcBorders>
            <w:tcW w:w="248" w:type="pct"/>
            <w:vAlign w:val="center"/>
            <w:vMerge w:val="restart"/>
            <w:textDirection w:val="lrTb"/>
            <w:noWrap w:val="false"/>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3</w:t>
            </w:r>
            <w:r/>
          </w:p>
        </w:tc>
        <w:tc>
          <w:tcPr>
            <w:tcBorders>
              <w:top w:val="single" w:color="000000" w:sz="4" w:space="0"/>
              <w:left w:val="single" w:color="000000" w:sz="4" w:space="0"/>
              <w:right w:val="single" w:color="000000" w:sz="4" w:space="0"/>
            </w:tcBorders>
            <w:tcW w:w="719" w:type="pct"/>
            <w:vAlign w:val="center"/>
            <w:vMerge w:val="restart"/>
            <w:textDirection w:val="lrTb"/>
            <w:noWrap w:val="false"/>
          </w:tcPr>
          <w:p>
            <w:pPr>
              <w:jc w:val="center"/>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河道保洁及河岸垃圾清运</w:t>
            </w:r>
            <w:r>
              <w:rPr>
                <w:rFonts w:hint="eastAsia" w:ascii="仿宋" w:hAnsi="仿宋" w:eastAsia="仿宋" w:cs="仿宋"/>
                <w:color w:val="000000"/>
                <w:sz w:val="22"/>
                <w:szCs w:val="22"/>
              </w:rPr>
              <w:br/>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en-US" w:eastAsia="zh-CN"/>
              </w:rPr>
              <w:t xml:space="preserve">30</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eastAsia="zh-CN"/>
              </w:rPr>
              <w:t xml:space="preserve">每日专人进行打捞。</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未定期巡查一次扣1分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424"/>
        </w:trPr>
        <w:tc>
          <w:tcPr>
            <w:tcBorders>
              <w:left w:val="single" w:color="000000" w:sz="4" w:space="0"/>
              <w:right w:val="single" w:color="000000" w:sz="4" w:space="0"/>
            </w:tcBorders>
            <w:tcW w:w="248" w:type="pct"/>
            <w:vAlign w:val="center"/>
            <w:vMerge w:val="continue"/>
            <w:textDirection w:val="lrTb"/>
            <w:noWrap w:val="false"/>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c>
          <w:tcPr>
            <w:tcBorders>
              <w:left w:val="single" w:color="000000" w:sz="4" w:space="0"/>
              <w:right w:val="single" w:color="000000" w:sz="4" w:space="0"/>
            </w:tcBorders>
            <w:tcW w:w="719" w:type="pct"/>
            <w:vAlign w:val="center"/>
            <w:vMerge w:val="continue"/>
            <w:textDirection w:val="lrTb"/>
            <w:noWrap w:val="false"/>
          </w:tcPr>
          <w:p>
            <w:pPr>
              <w:jc w:val="center"/>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河面及</w:t>
            </w:r>
            <w:r>
              <w:rPr>
                <w:rFonts w:hint="eastAsia" w:ascii="仿宋" w:hAnsi="仿宋" w:eastAsia="仿宋" w:cs="仿宋"/>
                <w:color w:val="000000"/>
                <w:sz w:val="22"/>
                <w:szCs w:val="22"/>
                <w:lang w:eastAsia="zh-CN"/>
              </w:rPr>
              <w:t xml:space="preserve">岸坡</w:t>
            </w:r>
            <w:r>
              <w:rPr>
                <w:rFonts w:hint="eastAsia" w:ascii="仿宋" w:hAnsi="仿宋" w:eastAsia="仿宋" w:cs="仿宋"/>
                <w:color w:val="000000"/>
                <w:sz w:val="22"/>
                <w:szCs w:val="22"/>
              </w:rPr>
              <w:t xml:space="preserve">整洁，水面及浮床无白色垃圾、落叶等漂浮物</w:t>
            </w:r>
            <w:r>
              <w:rPr>
                <w:rFonts w:hint="eastAsia" w:ascii="仿宋" w:hAnsi="仿宋" w:eastAsia="仿宋" w:cs="仿宋"/>
                <w:color w:val="000000"/>
                <w:sz w:val="22"/>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每发现一处（次）扣</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521"/>
        </w:trPr>
        <w:tc>
          <w:tcPr>
            <w:tcBorders>
              <w:left w:val="single" w:color="000000" w:sz="4" w:space="0"/>
              <w:bottom w:val="single" w:color="000000" w:sz="4" w:space="0"/>
              <w:right w:val="single" w:color="000000" w:sz="4" w:space="0"/>
            </w:tcBorders>
            <w:tcW w:w="248" w:type="pct"/>
            <w:vAlign w:val="center"/>
            <w:vMerge w:val="continue"/>
            <w:textDirection w:val="lrTb"/>
            <w:noWrap w:val="false"/>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c>
          <w:tcPr>
            <w:tcBorders>
              <w:left w:val="single" w:color="000000" w:sz="4" w:space="0"/>
              <w:bottom w:val="single" w:color="000000" w:sz="4" w:space="0"/>
              <w:right w:val="single" w:color="000000" w:sz="4" w:space="0"/>
            </w:tcBorders>
            <w:tcW w:w="719" w:type="pct"/>
            <w:vAlign w:val="center"/>
            <w:vMerge w:val="continue"/>
            <w:textDirection w:val="lrTb"/>
            <w:noWrap w:val="false"/>
          </w:tcPr>
          <w:p>
            <w:pPr>
              <w:jc w:val="center"/>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3、河道及河岸垃圾装袋，并</w:t>
            </w:r>
            <w:r>
              <w:rPr>
                <w:rFonts w:hint="eastAsia" w:ascii="仿宋" w:hAnsi="仿宋" w:eastAsia="仿宋" w:cs="仿宋"/>
                <w:color w:val="000000"/>
                <w:sz w:val="22"/>
                <w:szCs w:val="22"/>
              </w:rPr>
              <w:t xml:space="preserve">及时清运并闭环处理</w:t>
            </w:r>
            <w:r>
              <w:rPr>
                <w:rFonts w:hint="eastAsia" w:ascii="仿宋" w:hAnsi="仿宋" w:eastAsia="仿宋" w:cs="仿宋"/>
                <w:color w:val="000000"/>
                <w:sz w:val="22"/>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每发现一处（次）扣</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养护台账管理</w:t>
            </w:r>
            <w:r>
              <w:rPr>
                <w:rFonts w:hint="eastAsia" w:ascii="仿宋" w:hAnsi="仿宋" w:eastAsia="仿宋" w:cs="仿宋"/>
                <w:color w:val="000000"/>
                <w:sz w:val="22"/>
                <w:szCs w:val="22"/>
              </w:rPr>
              <w:br/>
            </w:r>
            <w:r>
              <w:rPr>
                <w:rFonts w:hint="eastAsia" w:ascii="仿宋" w:hAnsi="仿宋" w:eastAsia="仿宋" w:cs="仿宋"/>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1、检查巡查，日常养护和水质监测维护等各项内容记录装订成册。</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缺一项扣2分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540"/>
        </w:trPr>
        <w:tc>
          <w:tcPr>
            <w:tcBorders>
              <w:top w:val="single" w:color="000000" w:sz="4" w:space="0"/>
              <w:left w:val="single" w:color="000000" w:sz="4" w:space="0"/>
              <w:bottom w:val="none" w:color="000000" w:sz="4" w:space="0"/>
              <w:right w:val="single" w:color="000000" w:sz="4" w:space="0"/>
            </w:tcBorders>
            <w:tcW w:w="248"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719" w:type="pct"/>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水质效果</w:t>
            </w:r>
            <w:r>
              <w:rPr>
                <w:rFonts w:hint="eastAsia" w:ascii="仿宋" w:hAnsi="仿宋" w:eastAsia="仿宋" w:cs="仿宋"/>
                <w:color w:val="000000"/>
                <w:sz w:val="22"/>
                <w:szCs w:val="22"/>
              </w:rPr>
              <w:br/>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en-US" w:eastAsia="zh-CN"/>
              </w:rPr>
              <w:t xml:space="preserve">10</w:t>
            </w:r>
            <w:r>
              <w:rPr>
                <w:rFonts w:hint="eastAsia" w:ascii="仿宋" w:hAnsi="仿宋" w:eastAsia="仿宋" w:cs="仿宋"/>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numPr>
                <w:ilvl w:val="0"/>
                <w:numId w:val="11"/>
              </w:num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30个点位每周进行一次检测，并提供水质结果</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en-US" w:eastAsia="zh-CN"/>
              </w:rPr>
              <w:t xml:space="preserve">年平均</w:t>
            </w:r>
            <w:r>
              <w:rPr>
                <w:rFonts w:hint="eastAsia" w:ascii="仿宋" w:hAnsi="仿宋" w:eastAsia="仿宋" w:cs="仿宋"/>
                <w:color w:val="000000"/>
                <w:sz w:val="22"/>
                <w:szCs w:val="22"/>
              </w:rPr>
              <w:t xml:space="preserve">水质</w:t>
            </w:r>
            <w:r>
              <w:rPr>
                <w:rFonts w:hint="eastAsia" w:ascii="仿宋" w:hAnsi="仿宋" w:eastAsia="仿宋" w:cs="仿宋"/>
                <w:color w:val="000000"/>
                <w:sz w:val="22"/>
                <w:szCs w:val="22"/>
                <w:lang w:val="en-US" w:eastAsia="zh-CN"/>
              </w:rPr>
              <w:t xml:space="preserve">达</w:t>
            </w:r>
            <w:r>
              <w:rPr>
                <w:rFonts w:hint="eastAsia" w:ascii="仿宋" w:hAnsi="仿宋" w:eastAsia="仿宋" w:cs="仿宋"/>
                <w:color w:val="000000"/>
                <w:sz w:val="22"/>
                <w:szCs w:val="22"/>
              </w:rPr>
              <w:t xml:space="preserve">Ⅲ类水标准。</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lef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未提供水质结果，每次</w:t>
            </w:r>
            <w:r>
              <w:rPr>
                <w:rFonts w:hint="eastAsia" w:ascii="仿宋" w:hAnsi="仿宋" w:eastAsia="仿宋" w:cs="仿宋"/>
                <w:color w:val="000000"/>
                <w:sz w:val="22"/>
                <w:szCs w:val="22"/>
              </w:rPr>
              <w:t xml:space="preserve">扣</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w:t>
            </w:r>
            <w:r>
              <w:rPr>
                <w:rFonts w:hint="eastAsia" w:ascii="仿宋" w:hAnsi="仿宋" w:eastAsia="仿宋" w:cs="仿宋"/>
                <w:color w:val="000000"/>
                <w:sz w:val="22"/>
                <w:szCs w:val="22"/>
                <w:lang w:eastAsia="zh-CN"/>
              </w:rPr>
              <w:t xml:space="preserve">，区级检测</w:t>
            </w:r>
            <w:r>
              <w:rPr>
                <w:rFonts w:hint="eastAsia" w:ascii="仿宋" w:hAnsi="仿宋" w:eastAsia="仿宋" w:cs="仿宋"/>
                <w:color w:val="000000"/>
                <w:sz w:val="22"/>
                <w:szCs w:val="22"/>
                <w:lang w:val="en-US" w:eastAsia="zh-CN"/>
              </w:rPr>
              <w:t xml:space="preserve">水质未达标扣5分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r>
            <w:r/>
          </w:p>
        </w:tc>
      </w:tr>
      <w:tr>
        <w:trPr>
          <w:trHeight w:val="564"/>
        </w:trPr>
        <w:tc>
          <w:tcPr>
            <w:gridSpan w:val="5"/>
            <w:tcBorders>
              <w:top w:val="single" w:color="000000" w:sz="4" w:space="0"/>
              <w:left w:val="single" w:color="000000" w:sz="4" w:space="0"/>
              <w:bottom w:val="single" w:color="000000" w:sz="4" w:space="0"/>
              <w:right w:val="single" w:color="000000" w:sz="4" w:space="0"/>
            </w:tcBorders>
            <w:tcW w:w="4639" w:type="pct"/>
            <w:vAlign w:val="center"/>
            <w:textDirection w:val="lrTb"/>
            <w:noWrap/>
          </w:tcPr>
          <w:p>
            <w:pPr>
              <w:jc w:val="center"/>
              <w:widowControl/>
              <w:rPr>
                <w:rFonts w:hint="eastAsia" w:ascii="仿宋" w:hAnsi="仿宋" w:eastAsia="仿宋" w:cs="仿宋"/>
                <w:color w:val="000000"/>
                <w:sz w:val="20"/>
                <w:lang w:eastAsia="zh-CN"/>
              </w:rPr>
            </w:pPr>
            <w:r>
              <w:rPr>
                <w:rFonts w:hint="eastAsia" w:ascii="仿宋" w:hAnsi="仿宋" w:eastAsia="仿宋" w:cs="仿宋"/>
                <w:color w:val="000000"/>
                <w:sz w:val="22"/>
                <w:szCs w:val="22"/>
              </w:rPr>
              <w:t xml:space="preserve">考核得分</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月度考核得分80分及以上合格，80分以下不合格</w:t>
            </w:r>
            <w:r>
              <w:rPr>
                <w:rFonts w:hint="eastAsia" w:ascii="仿宋" w:hAnsi="仿宋" w:eastAsia="仿宋" w:cs="仿宋"/>
                <w:color w:val="000000"/>
                <w:sz w:val="22"/>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仿宋" w:hAnsi="仿宋" w:eastAsia="仿宋" w:cs="仿宋"/>
                <w:color w:val="000000"/>
                <w:sz w:val="20"/>
                <w:lang w:val="en-US" w:eastAsia="zh-CN"/>
              </w:rPr>
            </w:pPr>
            <w:r>
              <w:rPr>
                <w:rFonts w:hint="eastAsia" w:ascii="仿宋" w:hAnsi="仿宋" w:eastAsia="仿宋" w:cs="仿宋"/>
                <w:color w:val="000000"/>
                <w:sz w:val="20"/>
                <w:lang w:val="en-US" w:eastAsia="zh-CN"/>
              </w:rPr>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施工单位</w:t>
            </w:r>
            <w:r/>
          </w:p>
        </w:tc>
        <w:tc>
          <w:tcPr>
            <w:gridSpan w:val="4"/>
            <w:tcBorders>
              <w:top w:val="single" w:color="000000" w:sz="4" w:space="0"/>
              <w:left w:val="single" w:color="000000" w:sz="4" w:space="0"/>
              <w:bottom w:val="single" w:color="000000" w:sz="4" w:space="0"/>
              <w:right w:val="single" w:color="000000" w:sz="4" w:space="0"/>
            </w:tcBorders>
            <w:tcW w:w="4031" w:type="pct"/>
            <w:vAlign w:val="center"/>
            <w:textDirection w:val="lrTb"/>
            <w:noWrap/>
          </w:tcPr>
          <w:p>
            <w:pPr>
              <w:jc w:val="center"/>
              <w:widowControl/>
              <w:rPr>
                <w:rFonts w:hint="eastAsia" w:ascii="仿宋" w:hAnsi="仿宋" w:eastAsia="仿宋" w:cs="仿宋"/>
                <w:color w:val="000000"/>
                <w:sz w:val="20"/>
              </w:rPr>
            </w:pPr>
            <w:r>
              <w:rPr>
                <w:rFonts w:hint="eastAsia" w:ascii="仿宋" w:hAnsi="仿宋" w:eastAsia="仿宋" w:cs="仿宋"/>
                <w:color w:val="000000"/>
                <w:sz w:val="20"/>
              </w:rPr>
            </w:r>
            <w:r/>
          </w:p>
        </w:tc>
      </w:tr>
    </w:tbl>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pStyle w:val="932"/>
        <w:ind w:firstLine="0"/>
        <w:keepLines w:val="0"/>
        <w:keepNext w:val="0"/>
        <w:pageBreakBefore w:val="0"/>
        <w:spacing w:line="400" w:lineRule="exact"/>
        <w:widowControl w:val="off"/>
        <w:rPr>
          <w:rFonts w:hint="default"/>
          <w:highlight w:val="none"/>
          <w:lang w:val="en-US" w:eastAsia="zh-CN"/>
        </w:rPr>
      </w:pPr>
      <w:r>
        <w:rPr>
          <w:rFonts w:hint="eastAsia" w:ascii="仿宋" w:hAnsi="仿宋" w:eastAsia="仿宋" w:cs="仿宋"/>
          <w:b w:val="0"/>
          <w:bCs w:val="0"/>
          <w:color w:val="auto"/>
          <w:sz w:val="24"/>
          <w:szCs w:val="24"/>
          <w:highlight w:val="none"/>
          <w:lang w:val="en-US" w:eastAsia="zh-CN"/>
        </w:rPr>
        <w:t xml:space="preserve">此表打分情况作为合同款支付的依据：</w:t>
      </w:r>
      <w:r>
        <w:rPr>
          <w:rFonts w:hint="eastAsia" w:ascii="仿宋" w:hAnsi="仿宋" w:eastAsia="仿宋" w:cs="仿宋"/>
          <w:color w:val="auto"/>
          <w:sz w:val="24"/>
          <w:szCs w:val="24"/>
          <w:highlight w:val="none"/>
        </w:rPr>
        <w:t xml:space="preserve">总分为100分，9</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分及以上为优秀，全额支付合同价款；8</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分含（8</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分）为合格，对照9</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分，每少1分扣1000元；低于8</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分，为</w:t>
      </w:r>
      <w:r>
        <w:rPr>
          <w:rFonts w:hint="eastAsia" w:ascii="仿宋" w:hAnsi="仿宋" w:eastAsia="仿宋" w:cs="仿宋"/>
          <w:color w:val="000000"/>
          <w:sz w:val="22"/>
          <w:szCs w:val="22"/>
          <w:lang w:val="en-US" w:eastAsia="zh-CN"/>
        </w:rPr>
        <w:t xml:space="preserve">不合格</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对照80分，</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val="en-US" w:eastAsia="zh-CN"/>
        </w:rPr>
        <w:t xml:space="preserve">少</w:t>
      </w:r>
      <w:r>
        <w:rPr>
          <w:rFonts w:hint="eastAsia" w:ascii="仿宋" w:hAnsi="仿宋" w:eastAsia="仿宋" w:cs="仿宋"/>
          <w:color w:val="auto"/>
          <w:sz w:val="24"/>
          <w:szCs w:val="24"/>
          <w:highlight w:val="none"/>
        </w:rPr>
        <w:t xml:space="preserve">1分扣除合同金额千分之五，低于70分采购人有权解除合同，中标单位承担解除合同所带来的损失。</w:t>
      </w:r>
      <w:r/>
    </w:p>
    <w:p>
      <w:pPr>
        <w:rPr>
          <w:rFonts w:ascii="黑体" w:eastAsia="黑体"/>
          <w:b/>
          <w:color w:val="auto"/>
          <w:sz w:val="44"/>
          <w:szCs w:val="44"/>
          <w:highlight w:val="none"/>
        </w:rPr>
      </w:pPr>
      <w:r>
        <w:rPr>
          <w:rFonts w:ascii="黑体" w:eastAsia="黑体"/>
          <w:b/>
          <w:color w:val="auto"/>
          <w:sz w:val="44"/>
          <w:szCs w:val="44"/>
          <w:highlight w:val="none"/>
        </w:rPr>
      </w:r>
      <w:r/>
    </w:p>
    <w:p>
      <w:pPr>
        <w:ind w:firstLine="883"/>
        <w:jc w:val="left"/>
        <w:spacing w:line="360" w:lineRule="auto"/>
        <w:rPr>
          <w:rFonts w:hint="eastAsia" w:ascii="黑体" w:eastAsia="黑体"/>
          <w:b/>
          <w:color w:val="auto"/>
          <w:sz w:val="44"/>
          <w:szCs w:val="44"/>
          <w:highlight w:val="none"/>
        </w:rPr>
        <w:outlineLvl w:val="0"/>
      </w:pPr>
      <w:r>
        <w:rPr>
          <w:rFonts w:hint="eastAsia" w:ascii="黑体" w:eastAsia="黑体"/>
          <w:b/>
          <w:color w:val="auto"/>
          <w:sz w:val="44"/>
          <w:szCs w:val="44"/>
          <w:highlight w:val="none"/>
        </w:rPr>
      </w:r>
      <w:r/>
    </w:p>
    <w:p>
      <w:pPr>
        <w:ind w:firstLine="883"/>
        <w:jc w:val="left"/>
        <w:spacing w:line="360" w:lineRule="auto"/>
        <w:rPr>
          <w:rFonts w:hint="eastAsia" w:ascii="黑体" w:eastAsia="黑体"/>
          <w:b/>
          <w:color w:val="auto"/>
          <w:sz w:val="44"/>
          <w:szCs w:val="44"/>
          <w:highlight w:val="none"/>
        </w:rPr>
        <w:outlineLvl w:val="0"/>
      </w:pPr>
      <w:r>
        <w:rPr>
          <w:rFonts w:hint="eastAsia" w:ascii="黑体" w:eastAsia="黑体"/>
          <w:b/>
          <w:color w:val="auto"/>
          <w:sz w:val="44"/>
          <w:szCs w:val="44"/>
          <w:highlight w:val="none"/>
        </w:rPr>
      </w:r>
      <w:r/>
    </w:p>
    <w:p>
      <w:pPr>
        <w:ind w:firstLine="883"/>
        <w:jc w:val="left"/>
        <w:spacing w:line="360" w:lineRule="auto"/>
        <w:rPr>
          <w:rFonts w:hint="eastAsia" w:ascii="黑体" w:eastAsia="黑体"/>
          <w:b/>
          <w:color w:val="auto"/>
          <w:sz w:val="44"/>
          <w:szCs w:val="44"/>
          <w:highlight w:val="none"/>
        </w:rPr>
        <w:outlineLvl w:val="0"/>
      </w:pPr>
      <w:r>
        <w:rPr>
          <w:rFonts w:hint="eastAsia" w:ascii="黑体" w:eastAsia="黑体"/>
          <w:b/>
          <w:color w:val="auto"/>
          <w:sz w:val="44"/>
          <w:szCs w:val="44"/>
          <w:highlight w:val="none"/>
        </w:rPr>
      </w:r>
      <w:r/>
    </w:p>
    <w:p>
      <w:pPr>
        <w:ind w:firstLine="883"/>
        <w:jc w:val="left"/>
        <w:spacing w:line="360" w:lineRule="auto"/>
        <w:rPr>
          <w:rFonts w:hint="eastAsia" w:ascii="宋体" w:hAnsi="宋体"/>
          <w:b/>
          <w:color w:val="auto"/>
          <w:sz w:val="44"/>
          <w:szCs w:val="44"/>
          <w:highlight w:val="none"/>
        </w:rPr>
        <w:outlineLvl w:val="0"/>
      </w:pPr>
      <w:r>
        <w:rPr>
          <w:rFonts w:hint="eastAsia" w:ascii="黑体" w:eastAsia="黑体"/>
          <w:b/>
          <w:color w:val="auto"/>
          <w:sz w:val="44"/>
          <w:szCs w:val="44"/>
          <w:highlight w:val="none"/>
        </w:rPr>
        <w:t xml:space="preserve">第五部分．附件</w:t>
      </w:r>
      <w:r>
        <w:rPr>
          <w:rFonts w:hint="eastAsia" w:ascii="宋体" w:hAnsi="宋体"/>
          <w:b/>
          <w:color w:val="auto"/>
          <w:sz w:val="44"/>
          <w:szCs w:val="44"/>
          <w:highlight w:val="none"/>
        </w:rPr>
        <w:t xml:space="preserve">（投标文件格式）</w:t>
      </w:r>
      <w:r/>
    </w:p>
    <w:p>
      <w:pPr>
        <w:rPr>
          <w:rFonts w:ascii="黑体" w:eastAsia="黑体"/>
          <w:bCs/>
          <w:color w:val="auto"/>
          <w:sz w:val="32"/>
          <w:highlight w:val="none"/>
        </w:rPr>
      </w:pPr>
      <w:r>
        <w:rPr>
          <w:rFonts w:ascii="黑体" w:eastAsia="黑体"/>
          <w:bCs/>
          <w:color w:val="auto"/>
          <w:sz w:val="32"/>
          <w:highlight w:val="none"/>
        </w:rPr>
      </w:r>
      <w:r/>
    </w:p>
    <w:p>
      <w:pPr>
        <w:jc w:val="left"/>
        <w:rPr>
          <w:b/>
          <w:bCs/>
          <w:color w:val="auto"/>
          <w:sz w:val="28"/>
          <w:highlight w:val="none"/>
        </w:rPr>
      </w:pPr>
      <w:r>
        <w:rPr>
          <w:b/>
          <w:bCs/>
          <w:color w:val="auto"/>
          <w:sz w:val="28"/>
          <w:highlight w:val="none"/>
        </w:rPr>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80"/>
        <w:jc w:val="left"/>
        <w:spacing w:line="360" w:lineRule="auto"/>
        <w:rPr>
          <w:rFonts w:hint="eastAsia" w:ascii="宋体" w:hAnsi="宋体"/>
          <w:bCs/>
          <w:color w:val="auto"/>
          <w:sz w:val="32"/>
          <w:szCs w:val="8"/>
          <w:highlight w:val="none"/>
        </w:rPr>
        <w:outlineLvl w:val="0"/>
      </w:pPr>
      <w:r>
        <w:rPr>
          <w:rFonts w:hint="eastAsia" w:ascii="宋体" w:hAnsi="宋体"/>
          <w:bCs/>
          <w:color w:val="auto"/>
          <w:sz w:val="32"/>
          <w:szCs w:val="8"/>
          <w:highlight w:val="none"/>
        </w:rPr>
        <w:t xml:space="preserve">日      期 ：   </w:t>
      </w:r>
      <w:r/>
    </w:p>
    <w:p>
      <w:pPr>
        <w:ind w:firstLine="1205"/>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（一）投标函（给定格式）</w:t>
      </w:r>
      <w:r/>
    </w:p>
    <w:p>
      <w:pPr>
        <w:spacing w:before="4"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江苏筑祁园工程管理咨询有限公司</w:t>
      </w:r>
      <w:r/>
    </w:p>
    <w:p>
      <w:pPr>
        <w:ind w:firstLine="480"/>
        <w:spacing w:line="360" w:lineRule="auto"/>
        <w:tabs>
          <w:tab w:val="left" w:pos="525"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一、我方收到贵方采购编号为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的采购文件，经仔细阅读和研究，我方决定参加此项目的投标。我们愿意按照采购文件的一切要求（包括付款方式），提供本项目的投标，总报价见《开标一览表》。</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二、我方愿意提供</w:t>
      </w:r>
      <w:r>
        <w:rPr>
          <w:rFonts w:hint="eastAsia" w:ascii="宋体" w:hAnsi="宋体"/>
          <w:color w:val="auto"/>
          <w:sz w:val="24"/>
          <w:highlight w:val="none"/>
          <w:lang w:eastAsia="zh-CN"/>
        </w:rPr>
        <w:t xml:space="preserve">江苏筑祁园工程管理咨询有限公司</w:t>
      </w:r>
      <w:r>
        <w:rPr>
          <w:rFonts w:hint="eastAsia" w:ascii="宋体" w:hAnsi="宋体"/>
          <w:color w:val="auto"/>
          <w:sz w:val="24"/>
          <w:highlight w:val="none"/>
        </w:rPr>
        <w:t xml:space="preserve">在招标文件中要求的文件、资料。</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三、我方同意按招标文件中的规定，本投标文件报价的有效期限为投标之日起</w:t>
      </w:r>
      <w:r>
        <w:rPr>
          <w:rFonts w:hint="eastAsia" w:ascii="宋体" w:hAnsi="宋体"/>
          <w:color w:val="auto"/>
          <w:sz w:val="24"/>
          <w:highlight w:val="none"/>
          <w:lang w:val="en-US" w:eastAsia="zh-CN"/>
        </w:rPr>
        <w:t xml:space="preserve">90</w:t>
      </w:r>
      <w:r>
        <w:rPr>
          <w:rFonts w:hint="eastAsia" w:ascii="宋体" w:hAnsi="宋体"/>
          <w:color w:val="auto"/>
          <w:sz w:val="24"/>
          <w:highlight w:val="none"/>
        </w:rPr>
        <w:t xml:space="preserve">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四、如果我方的投标文件被接受，我方将履行采购公告及招标文件中规定的每一项要求，按期、按质、按量，完成任务。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五、我方认为你们有权决定中标人。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八、如果我方被确定为中标人并签订合同后，如无不可抗力，又未履行招标文件、投标文件合同条款的，一经查实，我方愿意赔偿由此而造成的一切损失，并同意接受按招标文件的相关要求对我方进行的处理。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投标人：（盖章）</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电话：                   传真：               地址：                   邮编：</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开户名称：               开户银行：                 开户账号：</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（二）关于资格的声明函（格式）</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jc w:val="center"/>
        <w:spacing w:line="48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我公司（单位）参加政府采购活动前三年内，在经营活动中没有重大违法记录。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
          <w:bCs/>
          <w:color w:val="auto"/>
          <w:sz w:val="24"/>
          <w:highlight w:val="none"/>
        </w:rPr>
        <w:t xml:space="preserve">采购编号：</w:t>
      </w:r>
      <w:r>
        <w:rPr>
          <w:rFonts w:hint="eastAsia" w:ascii="宋体" w:hAnsi="宋体"/>
          <w:b/>
          <w:bCs/>
          <w:color w:val="auto"/>
          <w:sz w:val="24"/>
          <w:highlight w:val="none"/>
          <w:lang w:eastAsia="zh-CN"/>
        </w:rPr>
        <w:t xml:space="preserve">JSZC-320211-ZQYY-G2026-0003</w:t>
      </w:r>
      <w:r>
        <w:rPr>
          <w:rFonts w:hint="eastAsia" w:ascii="黑体" w:eastAsia="黑体"/>
          <w:bCs/>
          <w:color w:val="auto"/>
          <w:sz w:val="24"/>
          <w:highlight w:val="none"/>
        </w:rPr>
        <w:t xml:space="preserve">）</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color w:val="auto"/>
          <w:sz w:val="30"/>
          <w:szCs w:val="30"/>
          <w:highlight w:val="none"/>
        </w:rPr>
        <w:outlineLvl w:val="0"/>
      </w:pPr>
      <w:r>
        <w:rPr>
          <w:rFonts w:ascii="黑体" w:eastAsia="黑体"/>
          <w:b/>
          <w:color w:val="auto"/>
          <w:sz w:val="30"/>
          <w:szCs w:val="30"/>
          <w:highlight w:val="none"/>
        </w:rPr>
      </w:r>
      <w:r/>
    </w:p>
    <w:p>
      <w:pPr>
        <w:pStyle w:val="682"/>
        <w:numPr>
          <w:ilvl w:val="0"/>
          <w:numId w:val="0"/>
        </w:numPr>
        <w:rPr>
          <w:color w:val="auto"/>
          <w:highlight w:val="none"/>
        </w:rPr>
      </w:pPr>
      <w:r>
        <w:rPr>
          <w:color w:val="auto"/>
          <w:highlight w:val="none"/>
        </w:rPr>
      </w:r>
      <w:r/>
    </w:p>
    <w:p>
      <w:pPr>
        <w:rPr>
          <w:color w:val="auto"/>
          <w:highlight w:val="none"/>
        </w:rPr>
      </w:pPr>
      <w:r>
        <w:rPr>
          <w:color w:val="auto"/>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color w:val="auto"/>
          <w:sz w:val="30"/>
          <w:szCs w:val="30"/>
          <w:highlight w:val="none"/>
        </w:rPr>
      </w:pPr>
      <w:r>
        <w:rPr>
          <w:rFonts w:hint="eastAsia" w:ascii="宋体" w:hAnsi="宋体"/>
          <w:bCs/>
          <w:color w:val="auto"/>
          <w:sz w:val="24"/>
          <w:highlight w:val="none"/>
        </w:rPr>
        <w:t xml:space="preserve">备注：根据《中华人民共和国政府采购法实施条例》第十九条第一款规定，“重大违法记录，是指投标人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bCs/>
          <w:color w:val="auto"/>
          <w:sz w:val="30"/>
          <w:szCs w:val="30"/>
          <w:highlight w:val="none"/>
        </w:rPr>
        <w:outlineLvl w:val="0"/>
      </w:pPr>
      <w:r>
        <w:rPr>
          <w:rFonts w:hint="eastAsia" w:ascii="黑体" w:eastAsia="黑体"/>
          <w:b/>
          <w:color w:val="auto"/>
          <w:sz w:val="30"/>
          <w:szCs w:val="30"/>
          <w:highlight w:val="none"/>
        </w:rPr>
        <w:br w:type="page" w:clear="all"/>
      </w:r>
      <w:r/>
    </w:p>
    <w:p>
      <w:pPr>
        <w:jc w:val="center"/>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（三）（投标人）法定代表人授权委托书（给定格式）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rPr>
          <w:rFonts w:hint="eastAsia" w:ascii="宋体" w:hAnsi="宋体"/>
          <w:b/>
          <w:bCs/>
          <w:color w:val="auto"/>
          <w:sz w:val="24"/>
          <w:highlight w:val="none"/>
          <w:lang w:eastAsia="zh-CN"/>
        </w:rPr>
        <w:t xml:space="preserve">JSZC-320211-ZQYY-G2026-0003</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江苏筑祁园工程管理咨询有限公司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（投标人单位名称）          </w:t>
      </w:r>
      <w:r>
        <w:rPr>
          <w:rFonts w:hint="eastAsia" w:ascii="宋体" w:hAnsi="宋体"/>
          <w:bCs/>
          <w:color w:val="auto"/>
          <w:sz w:val="24"/>
          <w:highlight w:val="none"/>
        </w:rPr>
        <w:t xml:space="preserve">系中华人民共和国合法企业，</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
          <w:bCs/>
          <w:color w:val="auto"/>
          <w:sz w:val="24"/>
          <w:highlight w:val="none"/>
        </w:rPr>
        <w:t xml:space="preserve">采购编号：</w:t>
      </w:r>
      <w:r>
        <w:rPr>
          <w:rFonts w:hint="eastAsia" w:ascii="宋体" w:hAnsi="宋体"/>
          <w:b/>
          <w:bCs/>
          <w:color w:val="auto"/>
          <w:sz w:val="24"/>
          <w:highlight w:val="none"/>
          <w:lang w:eastAsia="zh-CN"/>
        </w:rPr>
        <w:t xml:space="preserve">JSZC-320211-ZQYY-G2026-0003</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8890" b="107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vert="horz" wrap="square" anchor="t" anchorCtr="0" upright="1"/>
                    </wps:wsp>
                  </a:graphicData>
                </a:graphic>
              </wp:anchor>
            </w:drawing>
          </mc:Choice>
          <mc:Fallback>
            <w:pict>
              <v:shape id="shape 1" o:spid="_x0000_s1"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8890"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vert="horz" wrap="square" anchor="t" anchorCtr="0" upright="1"/>
                    </wps:wsp>
                  </a:graphicData>
                </a:graphic>
              </wp:anchor>
            </w:drawing>
          </mc:Choice>
          <mc:Fallback>
            <w:pict>
              <v:shape id="shape 2" o:spid="_x0000_s2"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pStyle w:val="682"/>
        <w:numPr>
          <w:ilvl w:val="0"/>
          <w:numId w:val="0"/>
        </w:numPr>
        <w:rPr>
          <w:color w:val="auto"/>
          <w:highlight w:val="none"/>
        </w:rPr>
      </w:pPr>
      <w:r>
        <w:rPr>
          <w:color w:val="auto"/>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color w:val="auto"/>
          <w:sz w:val="28"/>
          <w:szCs w:val="28"/>
          <w:highlight w:val="none"/>
        </w:rPr>
        <w:t xml:space="preserve">法定代表人身份证明书（给定格式）</w:t>
      </w:r>
      <w:r/>
    </w:p>
    <w:p>
      <w:pPr>
        <w:ind w:firstLine="612"/>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2"/>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成立时间：年月日</w:t>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ab/>
      </w:r>
      <w:r>
        <w:rPr>
          <w:rFonts w:ascii="宋体" w:hAnsi="宋体"/>
          <w:color w:val="auto"/>
          <w:sz w:val="24"/>
          <w:highlight w:val="none"/>
          <w:u w:val="single"/>
        </w:rPr>
        <w:t xml:space="preserve">         </w:t>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姓    名： 性别：年龄： 职务：</w:t>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系的法定代表人。</w:t>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highlight w:val="none"/>
        </w:rPr>
      </w:pPr>
      <w:r>
        <w:rPr>
          <w:rFonts w:hint="eastAsia" w:ascii="宋体" w:hAnsi="宋体"/>
          <w:color w:val="auto"/>
          <w:sz w:val="24"/>
          <w:highlight w:val="none"/>
        </w:rPr>
      </w:r>
      <w:r/>
    </w:p>
    <w:p>
      <w:pPr>
        <w:ind w:firstLine="4800"/>
        <w:spacing w:line="600" w:lineRule="auto"/>
        <w:tabs>
          <w:tab w:val="left" w:pos="720" w:leader="none"/>
          <w:tab w:val="left" w:pos="900" w:leader="none"/>
        </w:tabs>
        <w:rPr>
          <w:rFonts w:hint="eastAsia" w:ascii="宋体" w:hAnsi="宋体"/>
          <w:color w:val="auto"/>
          <w:sz w:val="24"/>
          <w:highlight w:val="none"/>
        </w:rPr>
      </w:pPr>
      <w:r>
        <w:rPr>
          <w:rFonts w:hint="eastAsia" w:ascii="宋体" w:hAnsi="宋体"/>
          <w:color w:val="auto"/>
          <w:sz w:val="24"/>
          <w:highlight w:val="none"/>
        </w:rPr>
        <w:t xml:space="preserve">投标供应商：</w:t>
      </w:r>
      <w:r>
        <w:rPr>
          <w:rFonts w:hint="eastAsia" w:ascii="宋体" w:hAnsi="宋体"/>
          <w:color w:val="auto"/>
          <w:sz w:val="24"/>
          <w:highlight w:val="none"/>
          <w:u w:val="single"/>
        </w:rPr>
        <w:t xml:space="preserve">             （盖公章）</w:t>
      </w:r>
      <w:r/>
    </w:p>
    <w:p>
      <w:pPr>
        <w:ind w:right="480" w:firstLine="5280"/>
        <w:widowControl/>
        <w:rPr>
          <w:rFonts w:hint="eastAsia" w:ascii="宋体" w:hAnsi="宋体"/>
          <w:color w:val="auto"/>
          <w:sz w:val="24"/>
          <w:highlight w:val="none"/>
        </w:rPr>
      </w:pPr>
      <w:r>
        <w:rPr>
          <w:rFonts w:hint="eastAsia" w:ascii="宋体" w:hAnsi="宋体"/>
          <w:color w:val="auto"/>
          <w:sz w:val="24"/>
          <w:highlight w:val="none"/>
        </w:rPr>
        <w:t xml:space="preserve">日  期：  年  月  日</w:t>
      </w:r>
      <w:r/>
    </w:p>
    <w:tbl>
      <w:tblPr>
        <w:tblStyle w:val="6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c>
          <w:tcPr>
            <w:tcW w:w="504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（反面）</w:t>
            </w:r>
            <w:r/>
          </w:p>
        </w:tc>
      </w:tr>
    </w:tbl>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bCs/>
          <w:color w:val="auto"/>
          <w:sz w:val="30"/>
          <w:szCs w:val="30"/>
          <w:highlight w:val="none"/>
        </w:rPr>
        <w:outlineLvl w:val="0"/>
      </w:pPr>
      <w:r>
        <w:rPr>
          <w:rFonts w:ascii="黑体" w:eastAsia="黑体"/>
          <w:b/>
          <w:bCs/>
          <w:color w:val="auto"/>
          <w:sz w:val="30"/>
          <w:szCs w:val="30"/>
          <w:highlight w:val="none"/>
        </w:rPr>
      </w:r>
      <w:r/>
    </w:p>
    <w:p>
      <w:pPr>
        <w:jc w:val="center"/>
        <w:spacing w:line="360" w:lineRule="auto"/>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（四）承诺书（给定格式）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（投标人名称）在此承诺：</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1．本公司（单位）对本项目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JSZC-320211-ZQYY-G2026-0003</w:t>
      </w:r>
      <w:r>
        <w:rPr>
          <w:rFonts w:hint="eastAsia" w:ascii="宋体" w:hAnsi="宋体"/>
          <w:bCs/>
          <w:color w:val="auto"/>
          <w:sz w:val="24"/>
          <w:highlight w:val="none"/>
        </w:rPr>
        <w:t xml:space="preserve">）提供符合招标要求的产品和服务；</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2．本公司（单位）具备履行合同所必需的设备和专业技术能力；</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3. 本公司未被“信用中国”网站（www.creditchina.gov.cn）列入失信执行人、</w:t>
      </w:r>
      <w:r>
        <w:rPr>
          <w:rFonts w:hint="eastAsia" w:ascii="宋体" w:hAnsi="宋体" w:cs="宋体"/>
          <w:color w:val="auto"/>
          <w:sz w:val="24"/>
          <w:highlight w:val="none"/>
        </w:rPr>
        <w:t xml:space="preserve">重大税收违法失信主体</w:t>
      </w:r>
      <w:r>
        <w:rPr>
          <w:rFonts w:hint="eastAsia" w:ascii="宋体" w:hAnsi="宋体"/>
          <w:bCs/>
          <w:color w:val="auto"/>
          <w:sz w:val="24"/>
          <w:highlight w:val="none"/>
        </w:rPr>
        <w:t xml:space="preserve">、政府采购严重违法失信行为记录名单。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4. ...</w:t>
      </w:r>
      <w:r/>
    </w:p>
    <w:p>
      <w:pPr>
        <w:spacing w:line="480" w:lineRule="auto"/>
        <w:rPr>
          <w:rFonts w:hint="eastAsia" w:ascii="宋体" w:hAnsi="宋体"/>
          <w:color w:val="auto"/>
          <w:sz w:val="24"/>
          <w:highlight w:val="none"/>
        </w:rPr>
      </w:pPr>
      <w:r>
        <w:rPr>
          <w:rFonts w:hint="eastAsia" w:ascii="宋体" w:hAnsi="宋体"/>
          <w:bCs/>
          <w:color w:val="auto"/>
          <w:sz w:val="24"/>
          <w:highlight w:val="none"/>
        </w:rPr>
        <w:t xml:space="preserve">如违背上述承诺，本公司（单位）将承担一切法律责任。</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713"/>
        <w:numPr>
          <w:ilvl w:val="0"/>
          <w:numId w:val="0"/>
        </w:numPr>
        <w:rPr>
          <w:color w:val="auto"/>
          <w:highlight w:val="none"/>
        </w:rPr>
      </w:pPr>
      <w:r>
        <w:rPr>
          <w:color w:val="auto"/>
          <w:highlight w:val="none"/>
        </w:rPr>
      </w:r>
      <w:r/>
    </w:p>
    <w:p>
      <w:pPr>
        <w:pStyle w:val="713"/>
        <w:numPr>
          <w:ilvl w:val="0"/>
          <w:numId w:val="0"/>
        </w:numPr>
        <w:rPr>
          <w:color w:val="auto"/>
          <w:highlight w:val="none"/>
        </w:rPr>
      </w:pPr>
      <w:r>
        <w:rPr>
          <w:color w:val="auto"/>
          <w:highlight w:val="none"/>
        </w:rPr>
      </w:r>
      <w:r/>
    </w:p>
    <w:p>
      <w:pPr>
        <w:rPr>
          <w:rFonts w:ascii="黑体" w:eastAsia="黑体"/>
          <w:b/>
          <w:bCs/>
          <w:color w:val="auto"/>
          <w:sz w:val="30"/>
          <w:szCs w:val="30"/>
          <w:highlight w:val="none"/>
        </w:rPr>
        <w:outlineLvl w:val="0"/>
      </w:pPr>
      <w:r>
        <w:rPr>
          <w:rFonts w:hint="eastAsia" w:ascii="黑体" w:eastAsia="黑体"/>
          <w:b/>
          <w:color w:val="auto"/>
          <w:sz w:val="30"/>
          <w:szCs w:val="30"/>
          <w:highlight w:val="none"/>
        </w:rPr>
        <w:br w:type="page" w:clear="all"/>
      </w:r>
      <w:r/>
    </w:p>
    <w:p>
      <w:pPr>
        <w:jc w:val="center"/>
        <w:spacing w:line="360" w:lineRule="auto"/>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（五）开标一览表（给定格式）</w:t>
      </w:r>
      <w:r/>
    </w:p>
    <w:p>
      <w:pPr>
        <w:jc w:val="center"/>
        <w:spacing w:line="30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投标人全称（盖章）：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69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项目名称</w:t>
            </w:r>
            <w:r/>
          </w:p>
        </w:tc>
        <w:tc>
          <w:tcPr>
            <w:tcW w:w="451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投标总报价（小写）</w:t>
            </w:r>
            <w:r/>
          </w:p>
        </w:tc>
      </w:tr>
      <w:tr>
        <w:trPr>
          <w:cantSplit/>
          <w:trHeight w:val="1630"/>
        </w:trPr>
        <w:tc>
          <w:tcPr>
            <w:tcW w:w="5565" w:type="dxa"/>
            <w:vAlign w:val="center"/>
            <w:textDirection w:val="lrTb"/>
            <w:noWrap w:val="false"/>
          </w:tcPr>
          <w:p>
            <w:pPr>
              <w:pStyle w:val="919"/>
              <w:jc w:val="center"/>
              <w:spacing w:line="400" w:lineRule="exact"/>
              <w:rPr>
                <w:rFonts w:hint="eastAsia" w:hAnsi="宋体"/>
                <w:bCs/>
                <w:color w:val="auto"/>
                <w:sz w:val="28"/>
                <w:szCs w:val="28"/>
                <w:highlight w:val="none"/>
              </w:rPr>
            </w:pPr>
            <w:r>
              <w:rPr>
                <w:rFonts w:hint="eastAsia" w:hAnsi="宋体"/>
                <w:bCs/>
                <w:color w:val="auto"/>
                <w:sz w:val="28"/>
                <w:szCs w:val="28"/>
                <w:highlight w:val="none"/>
              </w:rPr>
            </w:r>
            <w:r/>
          </w:p>
        </w:tc>
        <w:tc>
          <w:tcPr>
            <w:tcW w:w="4515" w:type="dxa"/>
            <w:vAlign w:val="center"/>
            <w:textDirection w:val="lrTb"/>
            <w:noWrap w:val="false"/>
          </w:tcPr>
          <w:p>
            <w:pPr>
              <w:pStyle w:val="919"/>
              <w:rPr>
                <w:rFonts w:hint="eastAsia" w:hAnsi="宋体"/>
                <w:b/>
                <w:color w:val="auto"/>
                <w:highlight w:val="none"/>
              </w:rPr>
            </w:pPr>
            <w:r>
              <w:rPr>
                <w:rFonts w:hint="eastAsia" w:hAnsi="宋体"/>
                <w:b/>
                <w:color w:val="auto"/>
                <w:highlight w:val="none"/>
              </w:rPr>
            </w:r>
            <w:r/>
          </w:p>
        </w:tc>
      </w:tr>
      <w:tr>
        <w:trPr>
          <w:cantSplit/>
          <w:trHeight w:val="780"/>
        </w:trPr>
        <w:tc>
          <w:tcPr>
            <w:gridSpan w:val="2"/>
            <w:tcW w:w="10080" w:type="dxa"/>
            <w:vAlign w:val="center"/>
            <w:textDirection w:val="lrTb"/>
            <w:noWrap w:val="false"/>
          </w:tcPr>
          <w:p>
            <w:pPr>
              <w:rPr>
                <w:rFonts w:asci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highlight w:val="none"/>
              </w:rPr>
              <w:t xml:space="preserve">：　　　</w:t>
            </w:r>
            <w:r/>
          </w:p>
        </w:tc>
      </w:tr>
    </w:tbl>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jc w:val="right"/>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sectPr>
          <w:headerReference w:type="default" r:id="rId9"/>
          <w:footerReference w:type="default" r:id="rId10"/>
          <w:footerReference w:type="even" r:id="rId11"/>
          <w:footnotePr/>
          <w:endnotePr/>
          <w:type w:val="nextPage"/>
          <w:pgSz w:w="11906" w:h="16838" w:orient="portrait"/>
          <w:pgMar w:top="567" w:right="851" w:bottom="567" w:left="1134" w:header="851" w:footer="992" w:gutter="0"/>
          <w:cols w:num="1" w:sep="0" w:space="720" w:equalWidth="1"/>
          <w:docGrid w:linePitch="360"/>
        </w:sectPr>
      </w:pPr>
      <w:r>
        <w:rPr>
          <w:rFonts w:hint="eastAsia" w:ascii="宋体" w:hAnsi="宋体"/>
          <w:color w:val="auto"/>
          <w:sz w:val="24"/>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jc w:val="center"/>
        <w:rPr>
          <w:rFonts w:ascii="黑体" w:eastAsia="黑体"/>
          <w:bCs/>
          <w:color w:val="auto"/>
          <w:sz w:val="28"/>
          <w:szCs w:val="28"/>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六</w:t>
      </w:r>
      <w:r>
        <w:rPr>
          <w:rFonts w:hint="eastAsia" w:ascii="黑体" w:eastAsia="黑体" w:cs="宋体"/>
          <w:b/>
          <w:color w:val="auto"/>
          <w:sz w:val="32"/>
          <w:szCs w:val="32"/>
          <w:highlight w:val="none"/>
        </w:rPr>
        <w:t xml:space="preserve">）明细报价表（给定格式）</w:t>
      </w:r>
      <w:r/>
    </w:p>
    <w:p>
      <w:pPr>
        <w:spacing w:line="400" w:lineRule="exact"/>
        <w:rPr>
          <w:rFonts w:hint="eastAsia" w:ascii="黑体" w:eastAsia="黑体"/>
          <w:bCs/>
          <w:color w:val="auto"/>
          <w:spacing w:val="0"/>
          <w:sz w:val="24"/>
          <w:highlight w:val="none"/>
        </w:rPr>
      </w:pPr>
      <w:r>
        <w:rPr>
          <w:rFonts w:hint="eastAsia" w:ascii="黑体" w:eastAsia="黑体"/>
          <w:bCs/>
          <w:color w:val="auto"/>
          <w:spacing w:val="0"/>
          <w:sz w:val="24"/>
          <w:highlight w:val="none"/>
        </w:rPr>
      </w:r>
      <w:r/>
    </w:p>
    <w:p>
      <w:pPr>
        <w:spacing w:line="400" w:lineRule="exact"/>
        <w:rPr>
          <w:rFonts w:hint="eastAsia" w:ascii="黑体" w:eastAsia="黑体"/>
          <w:bCs/>
          <w:color w:val="auto"/>
          <w:spacing w:val="0"/>
          <w:sz w:val="24"/>
          <w:highlight w:val="none"/>
        </w:rPr>
      </w:pPr>
      <w:r>
        <w:rPr>
          <w:rFonts w:hint="eastAsia" w:ascii="黑体" w:eastAsia="黑体"/>
          <w:bCs/>
          <w:color w:val="auto"/>
          <w:spacing w:val="0"/>
          <w:sz w:val="24"/>
          <w:highlight w:val="none"/>
        </w:rPr>
        <w:t xml:space="preserve">供应商名称（盖章）                                  项目编号：</w:t>
      </w:r>
      <w:r/>
    </w:p>
    <w:tbl>
      <w:tblPr>
        <w:tblStyle w:val="691"/>
        <w:tblpPr w:horzAnchor="page" w:tblpX="548" w:vertAnchor="text" w:tblpY="815" w:leftFromText="180" w:topFromText="0" w:rightFromText="180" w:bottomFromText="0"/>
        <w:tblW w:w="161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1335"/>
        <w:gridCol w:w="1575"/>
        <w:gridCol w:w="7890"/>
        <w:gridCol w:w="720"/>
        <w:gridCol w:w="1140"/>
        <w:gridCol w:w="1155"/>
        <w:gridCol w:w="1189"/>
        <w:gridCol w:w="656"/>
      </w:tblGrid>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合价（元）</w:t>
            </w:r>
            <w:r/>
          </w:p>
        </w:tc>
      </w:tr>
      <w:tr>
        <w:trPr>
          <w:gridAfter w:val="1"/>
          <w:trHeight w:val="3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生态浮岛的修剪、养护、更换</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1、日常巡查： 每周巡查两次， 松动及时固定，破损及时维修，避免整个浮岛连带损伤。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3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2、及时修剪枯黄、枯死和倒伏植株，及时清理滨岸带挺水植物周围的杂物或垃圾。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3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3、定期去除杂草， 除草时注意不要破坏植被根系。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3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4、冬至后至立春萌动前应对枯萎枝叶进行修剪。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5、对于因病虫害等原因造成某个或某些植被死亡时，应将植被撤出，并进行相应的补种；当植物有严重病虫害时，应撤出后再喷洒杀虫剂处理。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沉水植物的修剪、养护、更换（养护标准：三级养护）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1、及时清除水体表面的植物及非目的性沉水植物。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2、沉水植物长出水面影响景观时， 应进行人工打捞或机割。对于浮出水面的死株，应及时清除。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 一年收割1次， 收割时间为枯萎1周内开始收割，收割方式为机收割或人工打捞。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挺水植物及浮叶植物的修剪、养护、维修</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1、日常巡查： 每周巡查两次， 及时修剪枯黄、枯死和倒伏植株，及时清理滨岸带挺水植物周围的杂物或垃圾。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3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2、植物种植后， 每半月检查一次植物的生长情况，并及时补植缺损植株。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3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3、定期去除杂草， 除草时注意不要破坏植被根系。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3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4、冬至后至立春萌动前应对枯萎枝叶进行修剪。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5、对于因病虫害等原因造成某个或某些植被死亡时，应将植被撤出，并进行相应的补种；当植物有严重病虫害时，应撤出后再喷洒杀虫剂处理。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垃圾清运消纳</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1、常态保洁，垃圾每日清走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2、定期大规模清理修剪除杂时，若垃圾量过多时，限期内清走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3、确保岸线无垃圾堆放，避免二次污染环境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设备及曝气管保养</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沉水风机</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涡旋风机</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曝气管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喷泉曝气</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景观喷泉</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推流曝气</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离子推流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离子发生器</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定期检修保养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新增电缆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1、型号：YJV-3*4  2、穿套管沿驳岸明敷（按实结算）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新增曝气管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1、PE管DN50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2、每隔1m开孔，孔径2mm，DN50镀锌钢管固定，桩长3m，间距3m，含管件安装（带水作业，按实结算）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河道保洁及垃圾清理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1、常态保洁工作， 做到每日有专人进行打捞，巡回保洁，确保水面、河岸常态整洁，2人/日；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140626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2、应急处突保洁工作， 发现河道水域内有病死动物尸体时，及时打捞上岸进行无害化处理。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3、暴雨过后， 及时清理河道中垃圾、杂草、障碍物，确保河道畅通，河面、岸线干净整洁。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频次：28个点位每周一次， 并提供水质结果，以便甲方及时了解水质动态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3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微生物菌剂投放</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投放微生物菌剂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1、品种：高浓缩硝化菌；</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2、成分：芽孢杆菌、芽孢菌、醋（乳）酸菌等；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3、作用：维护河道微生物生态群落，降解河水氨氮等指标。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4、维稳河道水质，特殊情况时，应甲方要求，对河道进行应急处理。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52000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3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vMerge w:val="continue"/>
            <w:textDirection w:val="lrTb"/>
            <w:noWrap w:val="false"/>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生物蜡块投放</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在河道中投放生物蜡块</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1、生物蜡块40*60*2cm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r>
      <w:tr>
        <w:trPr>
          <w:gridAfter w:val="1"/>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13185" w:type="dxa"/>
            <w:vAlign w:val="center"/>
            <w:textDirection w:val="lrTb"/>
            <w:noWrap w:val="false"/>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lang w:val="en-US" w:eastAsia="zh-CN" w:bidi="ar"/>
              </w:rPr>
              <w:t xml:space="preserve">合计</w:t>
            </w:r>
            <w:r>
              <w:rPr>
                <w:rFonts w:hint="eastAsia" w:ascii="宋体" w:hAnsi="宋体" w:cs="宋体"/>
                <w:b/>
                <w:bCs/>
                <w:i w:val="0"/>
                <w:iCs w:val="0"/>
                <w:color w:val="000000"/>
                <w:sz w:val="15"/>
                <w:szCs w:val="15"/>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rPr>
            </w:r>
            <w:r/>
          </w:p>
        </w:tc>
      </w:tr>
      <w:tr>
        <w:trPr>
          <w:trHeight w:val="780"/>
        </w:trPr>
        <w:tc>
          <w:tcPr>
            <w:gridSpan w:val="3"/>
            <w:shd w:val="clear" w:color="auto" w:fill="auto"/>
            <w:tcBorders>
              <w:top w:val="none" w:color="000000" w:sz="4" w:space="0"/>
              <w:left w:val="single" w:color="000000" w:sz="4" w:space="0"/>
              <w:bottom w:val="single" w:color="000000" w:sz="4" w:space="0"/>
              <w:right w:val="single" w:color="000000" w:sz="4" w:space="0"/>
            </w:tcBorders>
            <w:tcW w:w="3435"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服务承诺</w:t>
            </w:r>
            <w:r/>
          </w:p>
        </w:tc>
        <w:tc>
          <w:tcPr>
            <w:gridSpan w:val="6"/>
            <w:shd w:val="clear" w:color="auto" w:fill="auto"/>
            <w:tcBorders>
              <w:top w:val="none" w:color="000000" w:sz="4" w:space="0"/>
              <w:left w:val="single" w:color="000000" w:sz="4" w:space="0"/>
              <w:bottom w:val="single" w:color="000000" w:sz="4" w:space="0"/>
              <w:right w:val="single" w:color="000000" w:sz="4" w:space="0"/>
            </w:tcBorders>
            <w:tcW w:w="12750" w:type="dxa"/>
            <w:vAlign w:val="center"/>
            <w:textDirection w:val="lrTb"/>
            <w:noWrap w:val="false"/>
          </w:tcPr>
          <w:p>
            <w:pPr>
              <w:jc w:val="left"/>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注：1、养护期间需做好每日台账，甲方不定时查看，养护期结束需提供养护期的全部台账。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2、菌剂投放按实结算，每次菌剂投放做好相应时间、数量的记录，甲乙双方需签字确认，方便后期结算。</w:t>
            </w:r>
            <w:r/>
          </w:p>
        </w:tc>
      </w:tr>
    </w:tbl>
    <w:p>
      <w:pPr>
        <w:spacing w:before="5" w:line="560" w:lineRule="atLeast"/>
        <w:rPr>
          <w:rFonts w:hint="eastAsia"/>
          <w:b/>
          <w:bCs/>
          <w:color w:val="auto"/>
          <w:spacing w:val="0"/>
          <w:sz w:val="24"/>
          <w:highlight w:val="none"/>
        </w:rPr>
      </w:pPr>
      <w:r>
        <w:rPr>
          <w:rFonts w:hint="eastAsia"/>
          <w:b/>
          <w:bCs/>
          <w:color w:val="auto"/>
          <w:spacing w:val="0"/>
          <w:sz w:val="24"/>
          <w:highlight w:val="none"/>
        </w:rPr>
        <w:t xml:space="preserve">法定代表人或法定代表人授权代表签字或盖章：</w:t>
      </w:r>
      <w:r/>
    </w:p>
    <w:p>
      <w:pPr>
        <w:spacing w:line="400" w:lineRule="exact"/>
        <w:rPr>
          <w:rFonts w:hint="eastAsia" w:ascii="宋体" w:hAnsi="宋体"/>
          <w:bCs/>
          <w:color w:val="auto"/>
          <w:spacing w:val="0"/>
          <w:szCs w:val="21"/>
          <w:highlight w:val="none"/>
        </w:rPr>
        <w:outlineLvl w:val="0"/>
      </w:pPr>
      <w:r>
        <w:rPr>
          <w:rFonts w:hint="eastAsia" w:ascii="宋体" w:hAnsi="宋体"/>
          <w:b/>
          <w:color w:val="auto"/>
          <w:spacing w:val="0"/>
          <w:szCs w:val="21"/>
          <w:highlight w:val="none"/>
        </w:rPr>
        <w:t xml:space="preserve">注：  </w:t>
      </w:r>
      <w:r>
        <w:rPr>
          <w:rFonts w:hint="eastAsia" w:ascii="宋体" w:hAnsi="宋体"/>
          <w:bCs/>
          <w:color w:val="auto"/>
          <w:spacing w:val="0"/>
          <w:szCs w:val="21"/>
          <w:highlight w:val="none"/>
        </w:rPr>
        <w:t xml:space="preserve">（1）供应商应当根据“采购需求”的内容在上表中详细填写；</w:t>
      </w:r>
      <w:r/>
    </w:p>
    <w:p>
      <w:pPr>
        <w:ind w:firstLine="630"/>
        <w:spacing w:line="400" w:lineRule="exact"/>
        <w:rPr>
          <w:rFonts w:hint="eastAsia"/>
          <w:b/>
          <w:bCs/>
          <w:color w:val="auto"/>
          <w:spacing w:val="0"/>
          <w:sz w:val="24"/>
          <w:highlight w:val="none"/>
        </w:rPr>
        <w:outlineLvl w:val="0"/>
      </w:pPr>
      <w:r>
        <w:rPr>
          <w:rFonts w:hint="eastAsia" w:ascii="宋体" w:hAnsi="宋体"/>
          <w:bCs/>
          <w:color w:val="auto"/>
          <w:spacing w:val="0"/>
          <w:szCs w:val="21"/>
          <w:highlight w:val="none"/>
        </w:rPr>
        <w:t xml:space="preserve">（</w:t>
      </w:r>
      <w:r>
        <w:rPr>
          <w:rFonts w:ascii="宋体" w:hAnsi="宋体"/>
          <w:bCs/>
          <w:color w:val="auto"/>
          <w:spacing w:val="0"/>
          <w:szCs w:val="21"/>
          <w:highlight w:val="none"/>
        </w:rPr>
        <w:t xml:space="preserve">2</w:t>
      </w:r>
      <w:r>
        <w:rPr>
          <w:rFonts w:hint="eastAsia" w:ascii="宋体" w:hAnsi="宋体"/>
          <w:bCs/>
          <w:color w:val="auto"/>
          <w:spacing w:val="0"/>
          <w:szCs w:val="21"/>
          <w:highlight w:val="none"/>
        </w:rPr>
        <w:t xml:space="preserve">）表格不够可自行延长。</w:t>
      </w:r>
      <w:r/>
    </w:p>
    <w:p>
      <w:pPr>
        <w:ind w:firstLine="542"/>
        <w:spacing w:line="400" w:lineRule="exact"/>
        <w:rPr>
          <w:b/>
          <w:bCs/>
          <w:color w:val="auto"/>
          <w:spacing w:val="0"/>
          <w:sz w:val="24"/>
          <w:highlight w:val="none"/>
        </w:rPr>
        <w:sectPr>
          <w:footnotePr/>
          <w:endnotePr/>
          <w:type w:val="nextPage"/>
          <w:pgSz w:w="16838" w:h="11906" w:orient="landscape"/>
          <w:pgMar w:top="1134" w:right="567" w:bottom="851" w:left="567" w:header="851" w:footer="992" w:gutter="0"/>
          <w:cols w:num="1" w:sep="0" w:space="720" w:equalWidth="1"/>
          <w:docGrid w:linePitch="360"/>
        </w:sectPr>
        <w:outlineLvl w:val="0"/>
      </w:pPr>
      <w:r>
        <w:rPr>
          <w:b/>
          <w:bCs/>
          <w:color w:val="auto"/>
          <w:spacing w:val="0"/>
          <w:sz w:val="24"/>
          <w:highlight w:val="none"/>
        </w:rPr>
      </w:r>
      <w:r/>
    </w:p>
    <w:p>
      <w:pPr>
        <w:ind w:firstLine="562"/>
        <w:jc w:val="center"/>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七</w:t>
      </w:r>
      <w:r>
        <w:rPr>
          <w:rFonts w:hint="eastAsia" w:ascii="黑体" w:eastAsia="黑体" w:cs="宋体"/>
          <w:b/>
          <w:color w:val="auto"/>
          <w:sz w:val="32"/>
          <w:szCs w:val="32"/>
          <w:highlight w:val="none"/>
        </w:rPr>
        <w:t xml:space="preserve">）投标偏离表（给定格式）</w:t>
      </w:r>
      <w:r/>
    </w:p>
    <w:p>
      <w:pPr>
        <w:ind w:firstLine="420"/>
        <w:jc w:val="both"/>
        <w:rPr>
          <w:rFonts w:hint="eastAsia" w:ascii="宋体" w:hAnsi="宋体"/>
          <w:bCs/>
          <w:color w:val="auto"/>
          <w:sz w:val="24"/>
          <w:highlight w:val="none"/>
        </w:rPr>
        <w:outlineLvl w:val="0"/>
      </w:pPr>
      <w:r>
        <w:rPr>
          <w:rFonts w:hint="eastAsia" w:ascii="宋体" w:hAnsi="宋体"/>
          <w:bCs/>
          <w:color w:val="auto"/>
          <w:sz w:val="24"/>
          <w:highlight w:val="none"/>
        </w:rPr>
      </w:r>
      <w:r/>
    </w:p>
    <w:p>
      <w:pPr>
        <w:ind w:firstLine="420"/>
        <w:jc w:val="center"/>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rPr>
          <w:rFonts w:hint="eastAsia" w:ascii="宋体" w:hAnsi="宋体"/>
          <w:bCs/>
          <w:color w:val="auto"/>
          <w:sz w:val="24"/>
          <w:highlight w:val="none"/>
        </w:rPr>
        <w:outlineLvl w:val="0"/>
      </w:pPr>
      <w:r>
        <w:rPr>
          <w:rFonts w:hint="eastAsia" w:ascii="宋体" w:hAnsi="宋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投标人名称（盖章）                                  政府采购编号： </w:t>
      </w:r>
      <w:r/>
    </w:p>
    <w:p>
      <w:pPr>
        <w:spacing w:line="400" w:lineRule="exact"/>
        <w:rPr>
          <w:rFonts w:ascii="黑体" w:eastAsia="黑体"/>
          <w:bCs/>
          <w:color w:val="auto"/>
          <w:sz w:val="24"/>
          <w:highlight w:val="none"/>
        </w:rPr>
      </w:pPr>
      <w:r>
        <w:rPr>
          <w:rFonts w:ascii="黑体" w:eastAsia="黑体"/>
          <w:bCs/>
          <w:color w:val="auto"/>
          <w:sz w:val="24"/>
          <w:highlight w:val="none"/>
        </w:rPr>
      </w:r>
      <w:r/>
    </w:p>
    <w:tbl>
      <w:tblPr>
        <w:tblStyle w:val="691"/>
        <w:tblW w:w="9607" w:type="dxa"/>
        <w:tblInd w:w="20" w:type="dxa"/>
        <w:tblLayout w:type="fixed"/>
        <w:tblCellMar>
          <w:left w:w="0" w:type="dxa"/>
          <w:top w:w="0" w:type="dxa"/>
          <w:right w:w="0" w:type="dxa"/>
          <w:bottom w:w="0" w:type="dxa"/>
        </w:tblCellMar>
        <w:tblLook w:val="04A0" w:firstRow="1" w:lastRow="0" w:firstColumn="1" w:lastColumn="0" w:noHBand="0" w:noVBand="1"/>
      </w:tblPr>
      <w:tblGrid>
        <w:gridCol w:w="1413"/>
        <w:gridCol w:w="2551"/>
        <w:gridCol w:w="2552"/>
        <w:gridCol w:w="309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bl>
    <w:p>
      <w:pPr>
        <w:ind w:firstLine="422"/>
        <w:rPr>
          <w:b/>
          <w:bCs/>
          <w:color w:val="auto"/>
          <w:sz w:val="24"/>
          <w:highlight w:val="none"/>
        </w:rPr>
        <w:outlineLvl w:val="0"/>
      </w:pPr>
      <w:r>
        <w:rPr>
          <w:b/>
          <w:bCs/>
          <w:color w:val="auto"/>
          <w:sz w:val="24"/>
          <w:highlight w:val="none"/>
        </w:rPr>
      </w:r>
      <w:r/>
    </w:p>
    <w:p>
      <w:pPr>
        <w:ind w:firstLine="422"/>
        <w:rPr>
          <w:rFonts w:hint="eastAsia" w:ascii="黑体" w:hAnsi="宋体" w:eastAsia="黑体"/>
          <w:bCs/>
          <w:color w:val="auto"/>
          <w:sz w:val="24"/>
          <w:highlight w:val="none"/>
        </w:rPr>
        <w:outlineLvl w:val="0"/>
      </w:pPr>
      <w:r>
        <w:rPr>
          <w:rFonts w:hint="eastAsia"/>
          <w:b/>
          <w:bCs/>
          <w:color w:val="auto"/>
          <w:sz w:val="24"/>
          <w:highlight w:val="none"/>
        </w:rPr>
        <w:t xml:space="preserve">法定代表人或法定代表人授权代表签字或盖章：</w:t>
      </w:r>
      <w:r/>
    </w:p>
    <w:p>
      <w:pPr>
        <w:ind w:firstLine="420"/>
        <w:rPr>
          <w:rFonts w:hint="eastAsia" w:ascii="宋体" w:hAnsi="宋体"/>
          <w:bCs/>
          <w:color w:val="auto"/>
          <w:sz w:val="24"/>
          <w:highlight w:val="none"/>
        </w:rPr>
        <w:outlineLvl w:val="0"/>
      </w:pPr>
      <w:r>
        <w:rPr>
          <w:rFonts w:hint="eastAsia" w:ascii="宋体" w:hAnsi="宋体"/>
          <w:bCs/>
          <w:color w:val="auto"/>
          <w:sz w:val="24"/>
          <w:highlight w:val="none"/>
        </w:rPr>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注：</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（1）本表不得删除；</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（2）如无任何技术偏离，请于本表 “偏离说明”中注明“无偏离”；</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（3）如有技术偏离项，请于本表中列明偏离内容，如需要可自行延长，其余无偏离内容不须赘述。</w:t>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pStyle w:val="918"/>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18"/>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18"/>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18"/>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18"/>
        <w:rPr>
          <w:rFonts w:hint="eastAsia" w:ascii="黑体" w:hAnsi="宋体" w:eastAsia="黑体"/>
          <w:b/>
          <w:color w:val="auto"/>
          <w:sz w:val="24"/>
          <w:highlight w:val="none"/>
        </w:rPr>
      </w:pPr>
      <w:r>
        <w:rPr>
          <w:rFonts w:hint="eastAsia" w:ascii="黑体" w:hAnsi="宋体" w:eastAsia="黑体"/>
          <w:b/>
          <w:color w:val="auto"/>
          <w:sz w:val="24"/>
          <w:highlight w:val="none"/>
        </w:rPr>
      </w:r>
      <w:r/>
    </w:p>
    <w:p>
      <w:pPr>
        <w:ind w:firstLine="723"/>
        <w:jc w:val="center"/>
        <w:spacing w:line="400" w:lineRule="exact"/>
        <w:rPr>
          <w:rFonts w:ascii="黑体" w:eastAsia="黑体" w:cs="宋体"/>
          <w:b/>
          <w:color w:val="auto"/>
          <w:sz w:val="32"/>
          <w:szCs w:val="32"/>
          <w:highlight w:val="none"/>
        </w:rPr>
        <w:outlineLvl w:val="0"/>
      </w:pPr>
      <w:r>
        <w:rPr>
          <w:rFonts w:ascii="黑体" w:eastAsia="黑体" w:cs="宋体"/>
          <w:b/>
          <w:color w:val="auto"/>
          <w:sz w:val="32"/>
          <w:szCs w:val="32"/>
          <w:highlight w:val="none"/>
        </w:rPr>
      </w:r>
      <w:r/>
    </w:p>
    <w:p>
      <w:pPr>
        <w:ind w:firstLine="723"/>
        <w:jc w:val="center"/>
        <w:spacing w:line="400" w:lineRule="exact"/>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八</w:t>
      </w:r>
      <w:r>
        <w:rPr>
          <w:rFonts w:hint="eastAsia" w:ascii="黑体" w:eastAsia="黑体" w:cs="宋体"/>
          <w:b/>
          <w:color w:val="auto"/>
          <w:sz w:val="32"/>
          <w:szCs w:val="32"/>
          <w:highlight w:val="none"/>
        </w:rPr>
        <w:t xml:space="preserve">）中小企业声明函（服务）</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 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highlight w:val="none"/>
          <w:vertAlign w:val="superscript"/>
        </w:rPr>
        <w:t xml:space="preserve">1</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 （中型企业、小型企业、微型企业）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企业名称（盖章）：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日 期：</w:t>
      </w:r>
      <w:r/>
    </w:p>
    <w:p>
      <w:pPr>
        <w:spacing w:line="580" w:lineRule="exact"/>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bCs/>
          <w:color w:val="auto"/>
          <w:spacing w:val="-2"/>
          <w:szCs w:val="21"/>
          <w:highlight w:val="none"/>
        </w:rPr>
      </w:pPr>
      <w:r>
        <w:rPr>
          <w:rFonts w:hint="eastAsia" w:ascii="宋体" w:hAnsi="宋体" w:cs="宋体"/>
          <w:b/>
          <w:bCs/>
          <w:color w:val="auto"/>
          <w:spacing w:val="-2"/>
          <w:szCs w:val="21"/>
          <w:highlight w:val="none"/>
        </w:rPr>
      </w:r>
      <w:r/>
    </w:p>
    <w:p>
      <w:pPr>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残疾人福利性单位声明函（格式）</w:t>
      </w:r>
      <w:r/>
    </w:p>
    <w:p>
      <w:pPr>
        <w:jc w:val="center"/>
        <w:rPr>
          <w:rFonts w:ascii="黑体"/>
          <w:b/>
          <w:color w:val="auto"/>
          <w:sz w:val="32"/>
          <w:szCs w:val="32"/>
          <w:highlight w:val="none"/>
        </w:rPr>
      </w:pPr>
      <w:r>
        <w:rPr>
          <w:rFonts w:ascii="黑体"/>
          <w:b/>
          <w:color w:val="auto"/>
          <w:sz w:val="32"/>
          <w:szCs w:val="32"/>
          <w:highlight w:val="none"/>
        </w:rPr>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jc w:val="right"/>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单位名称（盖章）： </w:t>
      </w:r>
      <w:r>
        <w:rPr>
          <w:rFonts w:ascii="宋体" w:hAnsi="宋体"/>
          <w:bCs/>
          <w:color w:val="auto"/>
          <w:sz w:val="24"/>
          <w:highlight w:val="none"/>
        </w:rPr>
        <w:t xml:space="preserve">        </w:t>
      </w:r>
      <w:r/>
    </w:p>
    <w:p>
      <w:pPr>
        <w:ind w:firstLine="480"/>
        <w:jc w:val="right"/>
        <w:spacing w:line="580" w:lineRule="exact"/>
        <w:rPr>
          <w:rFonts w:hint="eastAsia" w:ascii="宋体" w:hAnsi="宋体"/>
          <w:bCs/>
          <w:color w:val="auto"/>
          <w:sz w:val="24"/>
          <w:highlight w:val="none"/>
        </w:rPr>
      </w:pPr>
      <w:r>
        <w:rPr>
          <w:rFonts w:ascii="宋体" w:hAnsi="宋体"/>
          <w:bCs/>
          <w:color w:val="auto"/>
          <w:sz w:val="24"/>
          <w:highlight w:val="none"/>
        </w:rPr>
        <w:t xml:space="preserve">  </w:t>
      </w:r>
      <w:r/>
    </w:p>
    <w:p>
      <w:pPr>
        <w:ind w:firstLine="480"/>
        <w:jc w:val="right"/>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日  期： </w:t>
      </w:r>
      <w:r>
        <w:rPr>
          <w:rFonts w:ascii="宋体" w:hAnsi="宋体"/>
          <w:bCs/>
          <w:color w:val="auto"/>
          <w:sz w:val="24"/>
          <w:highlight w:val="none"/>
        </w:rPr>
        <w:t xml:space="preserve">        </w:t>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21"/>
        <w:rPr>
          <w:rFonts w:hint="eastAsia" w:ascii="宋体" w:hAnsi="宋体"/>
          <w:color w:val="auto"/>
          <w:sz w:val="24"/>
          <w:highlight w:val="none"/>
        </w:rPr>
      </w:pPr>
      <w:r>
        <w:rPr>
          <w:rFonts w:hint="eastAsia" w:ascii="宋体" w:hAnsi="宋体"/>
          <w:color w:val="auto"/>
          <w:sz w:val="24"/>
          <w:highlight w:val="none"/>
        </w:rPr>
      </w:r>
      <w:r/>
    </w:p>
    <w:p>
      <w:pPr>
        <w:pStyle w:val="721"/>
        <w:rPr>
          <w:rFonts w:hint="eastAsia" w:ascii="宋体" w:hAnsi="宋体"/>
          <w:color w:val="auto"/>
          <w:sz w:val="24"/>
          <w:highlight w:val="none"/>
        </w:rPr>
      </w:pPr>
      <w:r>
        <w:rPr>
          <w:rFonts w:hint="eastAsia" w:ascii="宋体" w:hAnsi="宋体"/>
          <w:color w:val="auto"/>
          <w:sz w:val="24"/>
          <w:highlight w:val="none"/>
        </w:rPr>
      </w:r>
      <w:r/>
    </w:p>
    <w:p>
      <w:pPr>
        <w:pStyle w:val="721"/>
        <w:rPr>
          <w:rFonts w:hint="eastAsia" w:ascii="宋体" w:hAnsi="宋体"/>
          <w:color w:val="auto"/>
          <w:sz w:val="24"/>
          <w:highlight w:val="none"/>
        </w:rPr>
      </w:pPr>
      <w:r>
        <w:rPr>
          <w:rFonts w:hint="eastAsia" w:ascii="宋体" w:hAnsi="宋体"/>
          <w:color w:val="auto"/>
          <w:sz w:val="24"/>
          <w:highlight w:val="none"/>
        </w:rPr>
      </w:r>
      <w:r/>
    </w:p>
    <w:p>
      <w:pPr>
        <w:pStyle w:val="721"/>
        <w:ind w:firstLine="0"/>
        <w:rPr>
          <w:rFonts w:hint="eastAsia" w:ascii="宋体" w:hAnsi="宋体"/>
          <w:color w:val="auto"/>
          <w:sz w:val="24"/>
          <w:highlight w:val="none"/>
        </w:rPr>
      </w:pPr>
      <w:r>
        <w:rPr>
          <w:rFonts w:hint="eastAsia" w:ascii="宋体" w:hAnsi="宋体"/>
          <w:color w:val="auto"/>
          <w:sz w:val="24"/>
          <w:highlight w:val="none"/>
        </w:rPr>
      </w:r>
      <w:r/>
    </w:p>
    <w:p>
      <w:pPr>
        <w:pStyle w:val="721"/>
        <w:ind w:firstLine="0"/>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br w:type="page" w:clear="all"/>
      </w:r>
      <w:r/>
    </w:p>
    <w:p>
      <w:pPr>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项目作业人员配备表（格式）</w:t>
      </w:r>
      <w:r/>
    </w:p>
    <w:p>
      <w:pPr>
        <w:jc w:val="cente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项目作业人员配备表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                              政府采购编号： </w:t>
      </w:r>
      <w:r/>
    </w:p>
    <w:tbl>
      <w:tblPr>
        <w:tblStyle w:val="691"/>
        <w:tblpPr w:horzAnchor="page" w:tblpX="1381" w:vertAnchor="text" w:tblpY="537" w:leftFromText="180" w:topFromText="0" w:rightFromText="180" w:bottomFromText="0"/>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050"/>
        <w:gridCol w:w="945"/>
        <w:gridCol w:w="1050"/>
        <w:gridCol w:w="1896"/>
        <w:gridCol w:w="1275"/>
        <w:gridCol w:w="1869"/>
      </w:tblGrid>
      <w:tr>
        <w:trPr>
          <w:cantSplit/>
          <w:trHeight w:val="624"/>
        </w:trPr>
        <w:tc>
          <w:tcPr>
            <w:tcW w:w="1263"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项目组人员配备</w:t>
            </w:r>
            <w:r/>
          </w:p>
        </w:tc>
        <w:tc>
          <w:tcPr>
            <w:gridSpan w:val="6"/>
            <w:tcW w:w="8085"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按服务内容劳动力投入情况填写</w:t>
            </w:r>
            <w:r/>
          </w:p>
        </w:tc>
      </w:tr>
      <w:tr>
        <w:trPr>
          <w:cantSplit/>
        </w:trPr>
        <w:tc>
          <w:tcPr>
            <w:tcW w:w="1263"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姓名</w:t>
            </w:r>
            <w:r/>
          </w:p>
        </w:tc>
        <w:tc>
          <w:tcPr>
            <w:tcW w:w="1050"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岗位</w:t>
            </w:r>
            <w:r/>
          </w:p>
        </w:tc>
        <w:tc>
          <w:tcPr>
            <w:tcW w:w="945"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学历</w:t>
            </w:r>
            <w:r/>
          </w:p>
        </w:tc>
        <w:tc>
          <w:tcPr>
            <w:tcW w:w="1050"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职称</w:t>
            </w:r>
            <w:r/>
          </w:p>
        </w:tc>
        <w:tc>
          <w:tcPr>
            <w:tcW w:w="1896"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专业技术证书</w:t>
            </w:r>
            <w:r/>
          </w:p>
        </w:tc>
        <w:tc>
          <w:tcPr>
            <w:tcW w:w="1275"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工作年限</w:t>
            </w:r>
            <w:r/>
          </w:p>
        </w:tc>
        <w:tc>
          <w:tcPr>
            <w:tcW w:w="1869" w:type="dxa"/>
            <w:vAlign w:val="center"/>
            <w:textDirection w:val="lrTb"/>
            <w:noWrap w:val="false"/>
          </w:tcPr>
          <w:p>
            <w:pPr>
              <w:ind w:left="0" w:right="0"/>
              <w:jc w:val="center"/>
              <w:keepLines w:val="0"/>
              <w:keepNext w:val="0"/>
              <w:spacing w:before="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备注</w:t>
            </w:r>
            <w:r/>
          </w:p>
        </w:tc>
      </w:tr>
      <w:tr>
        <w:trPr>
          <w:trHeight w:val="43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61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610"/>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60"/>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9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2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90"/>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460"/>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8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7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65"/>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trHeight w:val="510"/>
        </w:trPr>
        <w:tc>
          <w:tcPr>
            <w:tcW w:w="1263"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94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050"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96"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275"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869" w:type="dxa"/>
            <w:vAlign w:val="center"/>
            <w:textDirection w:val="lrTb"/>
            <w:noWrap w:val="false"/>
          </w:tcPr>
          <w:p>
            <w:pPr>
              <w:ind w:left="0" w:right="0"/>
              <w:jc w:val="center"/>
              <w:keepLines w:val="0"/>
              <w:keepNext w:val="0"/>
              <w:spacing w:before="120" w:beforeAutospacing="0" w:after="0" w:afterAutospacing="0" w:line="470" w:lineRule="exact"/>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bl>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投标供应商（公章）：                        </w:t>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法定代表人或授权委托人（签字或盖章）：                    </w:t>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注：1.本表对应评分标准中的项目人员配置情况，表格不够可自行延长。</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2.进场作业时，采购人有权对投标人所提供的人员信息进行核查。</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3.上表内容须按评分标准中的相关要求提供相应证明材料。</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4.证明材料均请附在本表之后。</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十</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供应商车辆/设备配备表（格式）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供应商车辆/设备配备表</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                              政府采购编号： </w:t>
      </w:r>
      <w:r/>
    </w:p>
    <w:p>
      <w:pPr>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6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1869"/>
        <w:gridCol w:w="2258"/>
        <w:gridCol w:w="3790"/>
        <w:gridCol w:w="1109"/>
      </w:tblGrid>
      <w:tr>
        <w:trPr>
          <w:trHeight w:val="703" w:hRule="exact"/>
        </w:trPr>
        <w:tc>
          <w:tcPr>
            <w:tcW w:w="545"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W w:w="922"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车辆/设备名称</w:t>
            </w:r>
            <w:r/>
          </w:p>
        </w:tc>
        <w:tc>
          <w:tcPr>
            <w:tcW w:w="1114" w:type="pct"/>
            <w:vAlign w:val="center"/>
            <w:textDirection w:val="lrTb"/>
            <w:noWrap w:val="false"/>
          </w:tcPr>
          <w:p>
            <w:pPr>
              <w:jc w:val="center"/>
              <w:spacing w:line="360" w:lineRule="auto"/>
              <w:rPr>
                <w:rFonts w:hint="eastAsia" w:ascii="仿宋" w:hAnsi="仿宋" w:eastAsia="仿宋" w:cs="仿宋"/>
                <w:color w:val="auto"/>
                <w:sz w:val="24"/>
                <w:highlight w:val="none"/>
              </w:rPr>
              <w:outlineLvl w:val="0"/>
            </w:pPr>
            <w:r>
              <w:rPr>
                <w:rFonts w:hint="eastAsia" w:ascii="仿宋" w:hAnsi="仿宋" w:eastAsia="仿宋" w:cs="仿宋"/>
                <w:b/>
                <w:bCs/>
                <w:color w:val="auto"/>
                <w:sz w:val="24"/>
                <w:highlight w:val="none"/>
              </w:rPr>
              <w:t xml:space="preserve">自有或租赁</w:t>
            </w:r>
            <w:r/>
          </w:p>
        </w:tc>
        <w:tc>
          <w:tcPr>
            <w:tcW w:w="1870" w:type="pct"/>
            <w:vAlign w:val="center"/>
            <w:textDirection w:val="lrTb"/>
            <w:noWrap w:val="false"/>
          </w:tcPr>
          <w:p>
            <w:pPr>
              <w:jc w:val="center"/>
              <w:spacing w:line="360" w:lineRule="auto"/>
              <w:rPr>
                <w:rFonts w:hint="eastAsia" w:ascii="仿宋" w:hAnsi="仿宋" w:eastAsia="仿宋" w:cs="仿宋"/>
                <w:color w:val="auto"/>
                <w:sz w:val="24"/>
                <w:highlight w:val="none"/>
              </w:rPr>
              <w:outlineLvl w:val="0"/>
            </w:pPr>
            <w:r>
              <w:rPr>
                <w:rFonts w:hint="eastAsia" w:ascii="仿宋" w:hAnsi="仿宋" w:eastAsia="仿宋" w:cs="仿宋"/>
                <w:b/>
                <w:bCs/>
                <w:color w:val="auto"/>
                <w:sz w:val="24"/>
                <w:highlight w:val="none"/>
              </w:rPr>
              <w:t xml:space="preserve">购入年份或租赁期限</w:t>
            </w:r>
            <w:r/>
          </w:p>
        </w:tc>
        <w:tc>
          <w:tcPr>
            <w:tcW w:w="547" w:type="pct"/>
            <w:vAlign w:val="center"/>
            <w:textDirection w:val="lrTb"/>
            <w:noWrap w:val="false"/>
          </w:tcPr>
          <w:p>
            <w:pPr>
              <w:jc w:val="center"/>
              <w:spacing w:line="360" w:lineRule="auto"/>
              <w:rPr>
                <w:rFonts w:hint="eastAsia" w:ascii="仿宋" w:hAnsi="仿宋" w:eastAsia="仿宋" w:cs="仿宋"/>
                <w:color w:val="auto"/>
                <w:sz w:val="24"/>
                <w:highlight w:val="none"/>
              </w:rPr>
              <w:outlineLvl w:val="0"/>
            </w:pPr>
            <w:r>
              <w:rPr>
                <w:rFonts w:hint="eastAsia" w:ascii="仿宋" w:hAnsi="仿宋" w:eastAsia="仿宋" w:cs="仿宋"/>
                <w:b/>
                <w:bCs/>
                <w:color w:val="auto"/>
                <w:sz w:val="24"/>
                <w:highlight w:val="none"/>
              </w:rPr>
              <w:t xml:space="preserve">备注</w:t>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ind w:firstLine="12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67" w:hRule="exact"/>
        </w:trPr>
        <w:tc>
          <w:tcPr>
            <w:tcW w:w="545"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W w:w="922"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14"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7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547"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04"/>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备注：表格不够可自行扩展。</w:t>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投标供应商（公章）：                        </w:t>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法定代表人或授权委托人（签字或盖章）：                    </w:t>
      </w:r>
      <w:r/>
    </w:p>
    <w:p>
      <w:pPr>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日期：     年     月     日</w:t>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注：1.本表对应评分标准中的设备或车辆配置情况，表格不够可自行延长。</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2.进场作业时，采购人有权对投标人所提供的设备或车辆信息进行核查。</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3.上表内容须按评分标准中的相关要求提供相应证明材料。</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4.证明材料均请附在本表之后。</w:t>
      </w:r>
      <w:r/>
    </w:p>
    <w:p>
      <w:pPr>
        <w:ind w:firstLine="420"/>
        <w:spacing w:line="360" w:lineRule="auto"/>
        <w:rPr>
          <w:rFonts w:hint="eastAsia" w:ascii="仿宋" w:hAnsi="仿宋" w:eastAsia="仿宋" w:cs="仿宋"/>
          <w:bCs/>
          <w:color w:val="auto"/>
          <w:highlight w:val="none"/>
        </w:rPr>
      </w:pPr>
      <w:r>
        <w:rPr>
          <w:rFonts w:hint="eastAsia" w:ascii="仿宋" w:hAnsi="仿宋" w:eastAsia="仿宋" w:cs="仿宋"/>
          <w:b/>
          <w:bCs/>
          <w:color w:val="auto"/>
          <w:sz w:val="30"/>
          <w:szCs w:val="30"/>
          <w:highlight w:val="none"/>
        </w:rPr>
        <w:br w:type="page" w:clear="all"/>
      </w:r>
      <w:r/>
    </w:p>
    <w:p>
      <w:pPr>
        <w:jc w:val="center"/>
        <w:rPr>
          <w:color w:val="auto"/>
          <w:highlight w:val="none"/>
        </w:rPr>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技术文件（格式自拟）</w:t>
      </w:r>
      <w:r/>
    </w:p>
    <w:sectPr>
      <w:footnotePr/>
      <w:endnotePr/>
      <w:type w:val="nextPage"/>
      <w:pgSz w:w="11906" w:h="16838" w:orient="portrait"/>
      <w:pgMar w:top="567" w:right="851" w:bottom="56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楷体_GB2312">
    <w:panose1 w:val="02010609060101010101"/>
  </w:font>
  <w:font w:name="华文细黑">
    <w:panose1 w:val="0201060004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0670" cy="131445"/>
              <wp:effectExtent l="6350" t="6350" r="6350" b="635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80826" cy="131433"/>
                      </a:xfrm>
                      <a:prstGeom prst="rect">
                        <a:avLst/>
                      </a:prstGeom>
                      <a:noFill/>
                      <a:ln>
                        <a:noFill/>
                      </a:ln>
                      <a:effectLst/>
                    </wps:spPr>
                    <wps:txbx>
                      <w:txbxContent>
                        <w:p>
                          <w:pPr>
                            <w:pStyle w:val="708"/>
                            <w:rPr>
                              <w:rStyle w:val="726"/>
                            </w:rPr>
                          </w:pPr>
                          <w:r>
                            <w:fldChar w:fldCharType="begin"/>
                          </w:r>
                          <w:r>
                            <w:rPr>
                              <w:rStyle w:val="726"/>
                            </w:rPr>
                            <w:instrText xml:space="preserve">PAGE  </w:instrText>
                          </w:r>
                          <w:r>
                            <w:fldChar w:fldCharType="separate"/>
                          </w:r>
                          <w:r>
                            <w:rPr>
                              <w:rStyle w:val="726"/>
                            </w:rPr>
                            <w:t xml:space="preserve">- 43 -</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1pt;height:10.3pt;mso-wrap-distance-left:9.0pt;mso-wrap-distance-top:0.0pt;mso-wrap-distance-right:9.0pt;mso-wrap-distance-bottom:0.0pt;v-text-anchor:top;visibility:visible;" filled="f" stroked="f">
              <v:textbox inset="0,0,0,0">
                <w:txbxContent>
                  <w:p>
                    <w:pPr>
                      <w:pStyle w:val="708"/>
                      <w:rPr>
                        <w:rStyle w:val="726"/>
                      </w:rPr>
                    </w:pPr>
                    <w:r>
                      <w:fldChar w:fldCharType="begin"/>
                    </w:r>
                    <w:r>
                      <w:rPr>
                        <w:rStyle w:val="726"/>
                      </w:rPr>
                      <w:instrText xml:space="preserve">PAGE  </w:instrText>
                    </w:r>
                    <w:r>
                      <w:fldChar w:fldCharType="separate"/>
                    </w:r>
                    <w:r>
                      <w:rPr>
                        <w:rStyle w:val="726"/>
                      </w:rPr>
                      <w:t xml:space="preserve">- 43 -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26"/>
      </w:rPr>
      <w:framePr w:wrap="around" w:vAnchor="text" w:hAnchor="margin" w:xAlign="center" w:y="1"/>
    </w:pPr>
    <w:r>
      <w:fldChar w:fldCharType="begin"/>
    </w:r>
    <w:r>
      <w:rPr>
        <w:rStyle w:val="726"/>
      </w:rPr>
      <w:instrText xml:space="preserve">PAGE  </w:instrTex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1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682"/>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32"/>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b w:val="0"/>
        <w:bCs/>
        <w:color w:val="auto"/>
      </w:rPr>
    </w:lvl>
    <w:lvl w:ilvl="1">
      <w:start w:val="1"/>
      <w:numFmt w:val="decimalEnclosedCircle"/>
      <w:isLgl w:val="false"/>
      <w:suff w:val="tab"/>
      <w:lvlText w:val="%2"/>
      <w:lvlJc w:val="left"/>
      <w:pPr>
        <w:ind w:left="1050" w:hanging="420"/>
        <w:tabs>
          <w:tab w:val="left" w:pos="1050" w:leader="none"/>
        </w:tabs>
      </w:pPr>
      <w:rPr>
        <w:rFonts w:ascii="Times New Roman" w:hAnsi="Times New Roman" w:eastAsia="Times New Roman" w:cs="Times New Roman"/>
        <w:color w:val="auto"/>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8"/>
  </w:num>
  <w:num w:numId="7">
    <w:abstractNumId w:val="10"/>
  </w:num>
  <w:num w:numId="8">
    <w:abstractNumId w:val="7"/>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770"/>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83">
    <w:name w:val="Heading 3"/>
    <w:basedOn w:val="680"/>
    <w:next w:val="680"/>
    <w:link w:val="771"/>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72"/>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3"/>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74"/>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7"/>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BodyText1I"/>
    <w:basedOn w:val="693"/>
    <w:uiPriority w:val="99"/>
    <w:qFormat/>
    <w:pPr>
      <w:ind w:firstLine="420"/>
      <w:spacing w:after="120"/>
    </w:pPr>
    <w:rPr>
      <w:rFonts w:ascii="Times New Roman" w:eastAsia="宋体" w:cs="Times New Roman"/>
      <w:sz w:val="20"/>
      <w:szCs w:val="20"/>
    </w:rPr>
  </w:style>
  <w:style w:type="paragraph" w:styleId="693" w:customStyle="1">
    <w:name w:val="BodyText"/>
    <w:basedOn w:val="680"/>
    <w:uiPriority w:val="99"/>
    <w:qFormat/>
    <w:rPr>
      <w:rFonts w:ascii="华文中宋" w:eastAsia="Times New Roman" w:cs="华文中宋"/>
      <w:sz w:val="28"/>
      <w:szCs w:val="28"/>
    </w:rPr>
  </w:style>
  <w:style w:type="paragraph" w:styleId="694">
    <w:name w:val="toc 7"/>
    <w:basedOn w:val="680"/>
    <w:next w:val="680"/>
    <w:uiPriority w:val="39"/>
    <w:unhideWhenUsed/>
    <w:qFormat/>
    <w:pPr>
      <w:ind w:left="1701"/>
      <w:spacing w:after="57"/>
    </w:pPr>
  </w:style>
  <w:style w:type="paragraph" w:styleId="695">
    <w:name w:val="Normal Indent"/>
    <w:basedOn w:val="680"/>
    <w:uiPriority w:val="0"/>
    <w:qFormat/>
    <w:pPr>
      <w:ind w:firstLine="420"/>
      <w:jc w:val="left"/>
      <w:widowControl/>
    </w:pPr>
    <w:rPr>
      <w:sz w:val="20"/>
      <w:szCs w:val="20"/>
    </w:rPr>
  </w:style>
  <w:style w:type="paragraph" w:styleId="696">
    <w:name w:val="Caption"/>
    <w:basedOn w:val="680"/>
    <w:next w:val="680"/>
    <w:uiPriority w:val="35"/>
    <w:unhideWhenUsed/>
    <w:qFormat/>
    <w:pPr>
      <w:spacing w:line="276" w:lineRule="auto"/>
    </w:pPr>
    <w:rPr>
      <w:b/>
      <w:bCs/>
      <w:color w:val="4874cb"/>
      <w:sz w:val="18"/>
      <w:szCs w:val="18"/>
    </w:rPr>
  </w:style>
  <w:style w:type="paragraph" w:styleId="697">
    <w:name w:val="annotation text"/>
    <w:basedOn w:val="680"/>
    <w:link w:val="927"/>
    <w:uiPriority w:val="0"/>
    <w:qFormat/>
    <w:pPr>
      <w:jc w:val="left"/>
    </w:pPr>
  </w:style>
  <w:style w:type="paragraph" w:styleId="698">
    <w:name w:val="Body Text"/>
    <w:basedOn w:val="680"/>
    <w:next w:val="680"/>
    <w:uiPriority w:val="0"/>
    <w:qFormat/>
    <w:rPr>
      <w:rFonts w:ascii="仿宋_GB2312" w:eastAsia="仿宋_GB2312"/>
      <w:sz w:val="28"/>
      <w:szCs w:val="20"/>
    </w:rPr>
  </w:style>
  <w:style w:type="paragraph" w:styleId="699">
    <w:name w:val="Body Text Indent"/>
    <w:basedOn w:val="680"/>
    <w:next w:val="700"/>
    <w:uiPriority w:val="0"/>
    <w:qFormat/>
    <w:pPr>
      <w:ind w:left="156"/>
      <w:spacing w:line="300" w:lineRule="auto"/>
      <w:widowControl/>
    </w:pPr>
    <w:rPr>
      <w:rFonts w:ascii="仿宋_GB2312" w:eastAsia="仿宋_GB2312"/>
      <w:sz w:val="28"/>
      <w:szCs w:val="20"/>
    </w:rPr>
  </w:style>
  <w:style w:type="paragraph" w:styleId="700">
    <w:name w:val="envelope return"/>
    <w:basedOn w:val="680"/>
    <w:uiPriority w:val="0"/>
    <w:qFormat/>
    <w:rPr>
      <w:rFonts w:ascii="Arial" w:hAnsi="Arial"/>
    </w:rPr>
  </w:style>
  <w:style w:type="paragraph" w:styleId="701">
    <w:name w:val="index 4"/>
    <w:basedOn w:val="680"/>
    <w:next w:val="680"/>
    <w:uiPriority w:val="0"/>
    <w:qFormat/>
    <w:pPr>
      <w:ind w:left="600"/>
    </w:pPr>
    <w:rPr>
      <w:szCs w:val="20"/>
    </w:rPr>
  </w:style>
  <w:style w:type="paragraph" w:styleId="702">
    <w:name w:val="toc 5"/>
    <w:basedOn w:val="680"/>
    <w:next w:val="680"/>
    <w:uiPriority w:val="39"/>
    <w:unhideWhenUsed/>
    <w:qFormat/>
    <w:pPr>
      <w:ind w:left="1134"/>
      <w:spacing w:after="57"/>
    </w:pPr>
  </w:style>
  <w:style w:type="paragraph" w:styleId="703">
    <w:name w:val="toc 3"/>
    <w:basedOn w:val="680"/>
    <w:next w:val="680"/>
    <w:uiPriority w:val="39"/>
    <w:unhideWhenUsed/>
    <w:qFormat/>
    <w:pPr>
      <w:ind w:left="567"/>
      <w:spacing w:after="57"/>
    </w:pPr>
  </w:style>
  <w:style w:type="paragraph" w:styleId="704">
    <w:name w:val="Plain Text"/>
    <w:basedOn w:val="680"/>
    <w:next w:val="705"/>
    <w:uiPriority w:val="0"/>
    <w:qFormat/>
    <w:rPr>
      <w:rFonts w:ascii="宋体" w:hAnsi="Courier New" w:eastAsia="宋体" w:cs="Times New Roman"/>
      <w:szCs w:val="21"/>
    </w:rPr>
  </w:style>
  <w:style w:type="paragraph" w:styleId="705">
    <w:name w:val="toc 2"/>
    <w:basedOn w:val="680"/>
    <w:next w:val="680"/>
    <w:uiPriority w:val="39"/>
    <w:unhideWhenUsed/>
    <w:qFormat/>
    <w:pPr>
      <w:ind w:left="283"/>
      <w:spacing w:after="57"/>
    </w:pPr>
  </w:style>
  <w:style w:type="paragraph" w:styleId="706">
    <w:name w:val="toc 8"/>
    <w:basedOn w:val="680"/>
    <w:next w:val="680"/>
    <w:uiPriority w:val="39"/>
    <w:unhideWhenUsed/>
    <w:qFormat/>
    <w:pPr>
      <w:ind w:left="1984"/>
      <w:spacing w:after="57"/>
    </w:pPr>
  </w:style>
  <w:style w:type="paragraph" w:styleId="707">
    <w:name w:val="endnote text"/>
    <w:basedOn w:val="680"/>
    <w:link w:val="778"/>
    <w:uiPriority w:val="99"/>
    <w:unhideWhenUsed/>
    <w:qFormat/>
    <w:rPr>
      <w:sz w:val="20"/>
    </w:rPr>
  </w:style>
  <w:style w:type="paragraph" w:styleId="708">
    <w:name w:val="Footer"/>
    <w:basedOn w:val="680"/>
    <w:uiPriority w:val="99"/>
    <w:qFormat/>
    <w:pPr>
      <w:jc w:val="left"/>
      <w:tabs>
        <w:tab w:val="center" w:pos="4153" w:leader="none"/>
        <w:tab w:val="right" w:pos="8306" w:leader="none"/>
      </w:tabs>
    </w:pPr>
    <w:rPr>
      <w:sz w:val="18"/>
      <w:szCs w:val="18"/>
    </w:rPr>
  </w:style>
  <w:style w:type="paragraph" w:styleId="709">
    <w:name w:val="Header"/>
    <w:basedOn w:val="680"/>
    <w:uiPriority w:val="99"/>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0"/>
    <w:next w:val="680"/>
    <w:uiPriority w:val="39"/>
    <w:unhideWhenUsed/>
    <w:qFormat/>
    <w:pPr>
      <w:spacing w:after="57"/>
    </w:pPr>
  </w:style>
  <w:style w:type="paragraph" w:styleId="711">
    <w:name w:val="toc 4"/>
    <w:basedOn w:val="680"/>
    <w:next w:val="680"/>
    <w:uiPriority w:val="39"/>
    <w:unhideWhenUsed/>
    <w:qFormat/>
    <w:pPr>
      <w:ind w:left="850"/>
      <w:spacing w:after="57"/>
    </w:pPr>
  </w:style>
  <w:style w:type="paragraph" w:styleId="712">
    <w:name w:val="Subtitle"/>
    <w:basedOn w:val="680"/>
    <w:next w:val="680"/>
    <w:link w:val="779"/>
    <w:uiPriority w:val="11"/>
    <w:qFormat/>
    <w:pPr>
      <w:spacing w:before="200" w:after="200"/>
    </w:pPr>
    <w:rPr>
      <w:sz w:val="24"/>
    </w:rPr>
  </w:style>
  <w:style w:type="paragraph" w:styleId="713">
    <w:name w:val="List"/>
    <w:basedOn w:val="680"/>
    <w:uiPriority w:val="0"/>
    <w:qFormat/>
    <w:pPr>
      <w:numPr>
        <w:ilvl w:val="0"/>
        <w:numId w:val="2"/>
      </w:numPr>
      <w:spacing w:after="20" w:line="288" w:lineRule="auto"/>
    </w:pPr>
    <w:rPr>
      <w:szCs w:val="20"/>
      <w:lang w:val="en-GB"/>
    </w:rPr>
  </w:style>
  <w:style w:type="paragraph" w:styleId="714">
    <w:name w:val="footnote text"/>
    <w:basedOn w:val="680"/>
    <w:link w:val="780"/>
    <w:uiPriority w:val="99"/>
    <w:unhideWhenUsed/>
    <w:qFormat/>
    <w:pPr>
      <w:spacing w:after="40"/>
    </w:pPr>
    <w:rPr>
      <w:sz w:val="18"/>
    </w:rPr>
  </w:style>
  <w:style w:type="paragraph" w:styleId="715">
    <w:name w:val="toc 6"/>
    <w:basedOn w:val="680"/>
    <w:next w:val="680"/>
    <w:uiPriority w:val="39"/>
    <w:unhideWhenUsed/>
    <w:qFormat/>
    <w:pPr>
      <w:ind w:left="1417"/>
      <w:spacing w:after="57"/>
    </w:pPr>
  </w:style>
  <w:style w:type="paragraph" w:styleId="716">
    <w:name w:val="table of figures"/>
    <w:basedOn w:val="680"/>
    <w:next w:val="680"/>
    <w:uiPriority w:val="99"/>
    <w:unhideWhenUsed/>
    <w:qFormat/>
  </w:style>
  <w:style w:type="paragraph" w:styleId="717">
    <w:name w:val="toc 9"/>
    <w:basedOn w:val="680"/>
    <w:next w:val="680"/>
    <w:uiPriority w:val="39"/>
    <w:unhideWhenUsed/>
    <w:qFormat/>
    <w:pPr>
      <w:ind w:left="2268"/>
      <w:spacing w:after="57"/>
    </w:pPr>
  </w:style>
  <w:style w:type="paragraph" w:styleId="718">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19">
    <w:name w:val="Title"/>
    <w:basedOn w:val="680"/>
    <w:next w:val="680"/>
    <w:link w:val="781"/>
    <w:uiPriority w:val="10"/>
    <w:qFormat/>
    <w:pPr>
      <w:contextualSpacing/>
      <w:spacing w:before="300" w:after="200"/>
    </w:pPr>
    <w:rPr>
      <w:sz w:val="48"/>
      <w:szCs w:val="48"/>
    </w:rPr>
  </w:style>
  <w:style w:type="paragraph" w:styleId="720">
    <w:name w:val="annotation subject"/>
    <w:basedOn w:val="697"/>
    <w:next w:val="697"/>
    <w:link w:val="928"/>
    <w:uiPriority w:val="99"/>
    <w:semiHidden/>
    <w:unhideWhenUsed/>
    <w:qFormat/>
    <w:rPr>
      <w:b/>
      <w:bCs/>
    </w:rPr>
  </w:style>
  <w:style w:type="paragraph" w:styleId="721">
    <w:name w:val="Body Text First Indent"/>
    <w:basedOn w:val="698"/>
    <w:uiPriority w:val="0"/>
    <w:qFormat/>
    <w:pPr>
      <w:ind w:firstLine="420"/>
      <w:spacing w:after="120"/>
    </w:pPr>
  </w:style>
  <w:style w:type="paragraph" w:styleId="722">
    <w:name w:val="Body Text First Indent 2"/>
    <w:basedOn w:val="699"/>
    <w:next w:val="713"/>
    <w:uiPriority w:val="0"/>
    <w:qFormat/>
    <w:pPr>
      <w:ind w:left="420" w:firstLine="420"/>
      <w:spacing w:after="120" w:line="240" w:lineRule="auto"/>
      <w:widowControl w:val="off"/>
    </w:pPr>
    <w:rPr>
      <w:rFonts w:ascii="Cambria" w:hAnsi="Cambria" w:eastAsia="华文细黑"/>
      <w:sz w:val="21"/>
    </w:rPr>
  </w:style>
  <w:style w:type="table" w:styleId="723">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0"/>
    <w:uiPriority w:val="22"/>
    <w:qFormat/>
    <w:rPr>
      <w:b/>
      <w:bCs/>
    </w:rPr>
  </w:style>
  <w:style w:type="character" w:styleId="725">
    <w:name w:val="endnote reference"/>
    <w:basedOn w:val="690"/>
    <w:uiPriority w:val="99"/>
    <w:unhideWhenUsed/>
    <w:qFormat/>
    <w:rPr>
      <w:vertAlign w:val="superscript"/>
    </w:rPr>
  </w:style>
  <w:style w:type="character" w:styleId="726">
    <w:name w:val="page number"/>
    <w:uiPriority w:val="0"/>
    <w:qFormat/>
  </w:style>
  <w:style w:type="character" w:styleId="727">
    <w:name w:val="Hyperlink"/>
    <w:uiPriority w:val="99"/>
    <w:unhideWhenUsed/>
    <w:qFormat/>
    <w:rPr>
      <w:color w:val="0026e5"/>
      <w:u w:val="single"/>
    </w:rPr>
  </w:style>
  <w:style w:type="character" w:styleId="728">
    <w:name w:val="annotation reference"/>
    <w:basedOn w:val="690"/>
    <w:uiPriority w:val="99"/>
    <w:semiHidden/>
    <w:unhideWhenUsed/>
    <w:qFormat/>
    <w:rPr>
      <w:sz w:val="21"/>
      <w:szCs w:val="21"/>
    </w:rPr>
  </w:style>
  <w:style w:type="character" w:styleId="729">
    <w:name w:val="footnote reference"/>
    <w:basedOn w:val="690"/>
    <w:uiPriority w:val="99"/>
    <w:unhideWhenUsed/>
    <w:qFormat/>
    <w:rPr>
      <w:vertAlign w:val="superscript"/>
    </w:rPr>
  </w:style>
  <w:style w:type="paragraph" w:styleId="730" w:customStyle="1">
    <w:name w:val="正文首行缩进1"/>
    <w:basedOn w:val="731"/>
    <w:uiPriority w:val="0"/>
    <w:qFormat/>
    <w:pPr>
      <w:ind w:firstLine="200"/>
      <w:spacing w:line="360" w:lineRule="auto"/>
    </w:pPr>
    <w:rPr>
      <w:rFonts w:ascii="仿宋_GB2312" w:eastAsia="仿宋_GB2312"/>
      <w:sz w:val="30"/>
      <w:szCs w:val="30"/>
    </w:rPr>
  </w:style>
  <w:style w:type="paragraph" w:styleId="731" w:customStyle="1">
    <w:name w:val="正文文本1"/>
    <w:basedOn w:val="680"/>
    <w:uiPriority w:val="0"/>
    <w:qFormat/>
    <w:rPr>
      <w:rFonts w:ascii="楷体_GB2312" w:hAnsi="Arial" w:eastAsia="楷体_GB2312"/>
      <w:sz w:val="28"/>
      <w:szCs w:val="28"/>
    </w:rPr>
  </w:style>
  <w:style w:type="paragraph" w:styleId="732" w:customStyle="1">
    <w:name w:val="标题 41"/>
    <w:basedOn w:val="680"/>
    <w:next w:val="680"/>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33" w:customStyle="1">
    <w:name w:val="Heading 1 Char"/>
    <w:basedOn w:val="690"/>
    <w:uiPriority w:val="9"/>
    <w:qFormat/>
    <w:rPr>
      <w:rFonts w:ascii="Arial" w:hAnsi="Arial" w:eastAsia="Arial" w:cs="Arial"/>
      <w:sz w:val="40"/>
      <w:szCs w:val="40"/>
    </w:rPr>
  </w:style>
  <w:style w:type="character" w:styleId="734" w:customStyle="1">
    <w:name w:val="Heading 3 Char"/>
    <w:basedOn w:val="690"/>
    <w:uiPriority w:val="9"/>
    <w:qFormat/>
    <w:rPr>
      <w:rFonts w:ascii="Arial" w:hAnsi="Arial" w:eastAsia="Arial" w:cs="Arial"/>
      <w:sz w:val="30"/>
      <w:szCs w:val="30"/>
    </w:rPr>
  </w:style>
  <w:style w:type="character" w:styleId="735" w:customStyle="1">
    <w:name w:val="Heading 4 Char"/>
    <w:basedOn w:val="690"/>
    <w:uiPriority w:val="9"/>
    <w:qFormat/>
    <w:rPr>
      <w:rFonts w:ascii="Arial" w:hAnsi="Arial" w:eastAsia="Arial" w:cs="Arial"/>
      <w:b/>
      <w:bCs/>
      <w:sz w:val="26"/>
      <w:szCs w:val="26"/>
    </w:rPr>
  </w:style>
  <w:style w:type="character" w:styleId="736" w:customStyle="1">
    <w:name w:val="Heading 5 Char"/>
    <w:basedOn w:val="690"/>
    <w:uiPriority w:val="9"/>
    <w:qFormat/>
    <w:rPr>
      <w:rFonts w:ascii="Arial" w:hAnsi="Arial" w:eastAsia="Arial" w:cs="Arial"/>
      <w:b/>
      <w:bCs/>
      <w:sz w:val="24"/>
      <w:szCs w:val="24"/>
    </w:rPr>
  </w:style>
  <w:style w:type="character" w:styleId="737" w:customStyle="1">
    <w:name w:val="Heading 6 Char"/>
    <w:basedOn w:val="690"/>
    <w:uiPriority w:val="9"/>
    <w:qFormat/>
    <w:rPr>
      <w:rFonts w:ascii="Arial" w:hAnsi="Arial" w:eastAsia="Arial" w:cs="Arial"/>
      <w:b/>
      <w:bCs/>
      <w:sz w:val="22"/>
      <w:szCs w:val="22"/>
    </w:rPr>
  </w:style>
  <w:style w:type="character" w:styleId="738" w:customStyle="1">
    <w:name w:val="Heading 7 Char"/>
    <w:basedOn w:val="690"/>
    <w:uiPriority w:val="9"/>
    <w:qFormat/>
    <w:rPr>
      <w:rFonts w:ascii="Arial" w:hAnsi="Arial" w:eastAsia="Arial" w:cs="Arial"/>
      <w:b/>
      <w:bCs/>
      <w:i/>
      <w:iCs/>
      <w:sz w:val="22"/>
      <w:szCs w:val="22"/>
    </w:rPr>
  </w:style>
  <w:style w:type="character" w:styleId="739" w:customStyle="1">
    <w:name w:val="Heading 8 Char"/>
    <w:basedOn w:val="690"/>
    <w:uiPriority w:val="9"/>
    <w:qFormat/>
    <w:rPr>
      <w:rFonts w:ascii="Arial" w:hAnsi="Arial" w:eastAsia="Arial" w:cs="Arial"/>
      <w:i/>
      <w:iCs/>
      <w:sz w:val="22"/>
      <w:szCs w:val="22"/>
    </w:rPr>
  </w:style>
  <w:style w:type="character" w:styleId="740" w:customStyle="1">
    <w:name w:val="Heading 9 Char"/>
    <w:basedOn w:val="690"/>
    <w:uiPriority w:val="9"/>
    <w:qFormat/>
    <w:rPr>
      <w:rFonts w:ascii="Arial" w:hAnsi="Arial" w:eastAsia="Arial" w:cs="Arial"/>
      <w:i/>
      <w:iCs/>
      <w:sz w:val="21"/>
      <w:szCs w:val="21"/>
    </w:rPr>
  </w:style>
  <w:style w:type="character" w:styleId="741" w:customStyle="1">
    <w:name w:val="Title Char"/>
    <w:basedOn w:val="690"/>
    <w:uiPriority w:val="10"/>
    <w:qFormat/>
    <w:rPr>
      <w:sz w:val="48"/>
      <w:szCs w:val="48"/>
    </w:rPr>
  </w:style>
  <w:style w:type="character" w:styleId="742" w:customStyle="1">
    <w:name w:val="Subtitle Char"/>
    <w:basedOn w:val="690"/>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table" w:styleId="745"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正文缩进1"/>
    <w:basedOn w:val="680"/>
    <w:uiPriority w:val="0"/>
    <w:qFormat/>
    <w:pPr>
      <w:ind w:firstLine="420"/>
      <w:jc w:val="left"/>
      <w:widowControl/>
    </w:pPr>
    <w:rPr>
      <w:sz w:val="20"/>
    </w:rPr>
  </w:style>
  <w:style w:type="paragraph" w:styleId="768" w:customStyle="1">
    <w:name w:val="正文文本11"/>
    <w:basedOn w:val="680"/>
    <w:next w:val="769"/>
    <w:uiPriority w:val="99"/>
    <w:qFormat/>
    <w:rPr>
      <w:rFonts w:ascii="华文中宋" w:eastAsia="华文中宋"/>
      <w:bCs/>
      <w:sz w:val="28"/>
      <w:szCs w:val="20"/>
    </w:rPr>
  </w:style>
  <w:style w:type="paragraph" w:styleId="769" w:customStyle="1">
    <w:name w:val="目录 2111"/>
    <w:basedOn w:val="680"/>
    <w:next w:val="680"/>
    <w:uiPriority w:val="39"/>
    <w:unhideWhenUsed/>
    <w:qFormat/>
    <w:pPr>
      <w:ind w:left="283"/>
      <w:spacing w:after="57"/>
    </w:pPr>
    <w:rPr>
      <w:szCs w:val="21"/>
    </w:rPr>
  </w:style>
  <w:style w:type="character" w:styleId="770" w:customStyle="1">
    <w:name w:val="标题 1 字符"/>
    <w:basedOn w:val="690"/>
    <w:link w:val="681"/>
    <w:uiPriority w:val="9"/>
    <w:qFormat/>
    <w:rPr>
      <w:rFonts w:ascii="Arial" w:hAnsi="Arial" w:eastAsia="Arial" w:cs="Arial"/>
      <w:sz w:val="40"/>
      <w:szCs w:val="40"/>
    </w:rPr>
  </w:style>
  <w:style w:type="character" w:styleId="771" w:customStyle="1">
    <w:name w:val="标题 3 字符"/>
    <w:basedOn w:val="690"/>
    <w:link w:val="683"/>
    <w:uiPriority w:val="9"/>
    <w:qFormat/>
    <w:rPr>
      <w:rFonts w:ascii="Arial" w:hAnsi="Arial" w:eastAsia="Arial" w:cs="Arial"/>
      <w:sz w:val="30"/>
      <w:szCs w:val="30"/>
    </w:rPr>
  </w:style>
  <w:style w:type="character" w:styleId="772" w:customStyle="1">
    <w:name w:val="标题 4 字符"/>
    <w:basedOn w:val="690"/>
    <w:link w:val="684"/>
    <w:uiPriority w:val="9"/>
    <w:qFormat/>
    <w:rPr>
      <w:rFonts w:ascii="Arial" w:hAnsi="Arial" w:eastAsia="Arial" w:cs="Arial"/>
      <w:b/>
      <w:bCs/>
      <w:sz w:val="26"/>
      <w:szCs w:val="26"/>
    </w:rPr>
  </w:style>
  <w:style w:type="character" w:styleId="773" w:customStyle="1">
    <w:name w:val="标题 5 字符"/>
    <w:basedOn w:val="690"/>
    <w:link w:val="685"/>
    <w:uiPriority w:val="9"/>
    <w:qFormat/>
    <w:rPr>
      <w:rFonts w:ascii="Arial" w:hAnsi="Arial" w:eastAsia="Arial" w:cs="Arial"/>
      <w:b/>
      <w:bCs/>
      <w:sz w:val="24"/>
      <w:szCs w:val="24"/>
    </w:rPr>
  </w:style>
  <w:style w:type="character" w:styleId="774" w:customStyle="1">
    <w:name w:val="标题 6 字符"/>
    <w:basedOn w:val="690"/>
    <w:link w:val="686"/>
    <w:uiPriority w:val="9"/>
    <w:qFormat/>
    <w:rPr>
      <w:rFonts w:ascii="Arial" w:hAnsi="Arial" w:eastAsia="Arial" w:cs="Arial"/>
      <w:b/>
      <w:bCs/>
      <w:sz w:val="22"/>
      <w:szCs w:val="22"/>
    </w:rPr>
  </w:style>
  <w:style w:type="character" w:styleId="775" w:customStyle="1">
    <w:name w:val="标题 7 字符"/>
    <w:basedOn w:val="690"/>
    <w:link w:val="687"/>
    <w:uiPriority w:val="9"/>
    <w:qFormat/>
    <w:rPr>
      <w:rFonts w:ascii="Arial" w:hAnsi="Arial" w:eastAsia="Arial" w:cs="Arial"/>
      <w:b/>
      <w:bCs/>
      <w:i/>
      <w:iCs/>
      <w:sz w:val="22"/>
      <w:szCs w:val="22"/>
    </w:rPr>
  </w:style>
  <w:style w:type="character" w:styleId="776" w:customStyle="1">
    <w:name w:val="标题 8 字符"/>
    <w:basedOn w:val="690"/>
    <w:link w:val="688"/>
    <w:uiPriority w:val="9"/>
    <w:qFormat/>
    <w:rPr>
      <w:rFonts w:ascii="Arial" w:hAnsi="Arial" w:eastAsia="Arial" w:cs="Arial"/>
      <w:i/>
      <w:iCs/>
      <w:sz w:val="22"/>
      <w:szCs w:val="22"/>
    </w:rPr>
  </w:style>
  <w:style w:type="character" w:styleId="777" w:customStyle="1">
    <w:name w:val="标题 9 字符"/>
    <w:basedOn w:val="690"/>
    <w:link w:val="689"/>
    <w:uiPriority w:val="9"/>
    <w:qFormat/>
    <w:rPr>
      <w:rFonts w:ascii="Arial" w:hAnsi="Arial" w:eastAsia="Arial" w:cs="Arial"/>
      <w:i/>
      <w:iCs/>
      <w:sz w:val="21"/>
      <w:szCs w:val="21"/>
    </w:rPr>
  </w:style>
  <w:style w:type="character" w:styleId="778" w:customStyle="1">
    <w:name w:val="尾注文本 字符"/>
    <w:link w:val="707"/>
    <w:uiPriority w:val="99"/>
    <w:qFormat/>
    <w:rPr>
      <w:sz w:val="20"/>
    </w:rPr>
  </w:style>
  <w:style w:type="character" w:styleId="779" w:customStyle="1">
    <w:name w:val="副标题 字符"/>
    <w:basedOn w:val="690"/>
    <w:link w:val="712"/>
    <w:uiPriority w:val="11"/>
    <w:qFormat/>
    <w:rPr>
      <w:sz w:val="24"/>
      <w:szCs w:val="24"/>
    </w:rPr>
  </w:style>
  <w:style w:type="character" w:styleId="780" w:customStyle="1">
    <w:name w:val="脚注文本 字符"/>
    <w:link w:val="714"/>
    <w:uiPriority w:val="99"/>
    <w:qFormat/>
    <w:rPr>
      <w:sz w:val="18"/>
    </w:rPr>
  </w:style>
  <w:style w:type="character" w:styleId="781" w:customStyle="1">
    <w:name w:val="标题 字符"/>
    <w:basedOn w:val="690"/>
    <w:link w:val="719"/>
    <w:uiPriority w:val="10"/>
    <w:qFormat/>
    <w:rPr>
      <w:sz w:val="48"/>
      <w:szCs w:val="48"/>
    </w:rPr>
  </w:style>
  <w:style w:type="character" w:styleId="782" w:customStyle="1">
    <w:name w:val="Heading 2 Char"/>
    <w:basedOn w:val="690"/>
    <w:uiPriority w:val="9"/>
    <w:qFormat/>
    <w:rPr>
      <w:rFonts w:ascii="Arial" w:hAnsi="Arial" w:eastAsia="Arial" w:cs="Arial"/>
      <w:sz w:val="34"/>
    </w:rPr>
  </w:style>
  <w:style w:type="paragraph" w:styleId="783">
    <w:name w:val="No Spacing"/>
    <w:uiPriority w:val="1"/>
    <w:qFormat/>
    <w:rPr>
      <w:rFonts w:hint="default" w:ascii="Calibri" w:hAnsi="Calibri" w:eastAsia="Arial" w:cs="Times New Roman"/>
      <w:lang w:val="en-US" w:eastAsia="zh-CN" w:bidi="ar-SA"/>
    </w:rPr>
  </w:style>
  <w:style w:type="paragraph" w:styleId="784">
    <w:name w:val="Quote"/>
    <w:basedOn w:val="680"/>
    <w:next w:val="680"/>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680"/>
    <w:next w:val="680"/>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690"/>
    <w:uiPriority w:val="99"/>
    <w:qFormat/>
  </w:style>
  <w:style w:type="character" w:styleId="789" w:customStyle="1">
    <w:name w:val="Footer Char"/>
    <w:basedOn w:val="690"/>
    <w:uiPriority w:val="99"/>
    <w:qFormat/>
  </w:style>
  <w:style w:type="character" w:styleId="790" w:customStyle="1">
    <w:name w:val="Caption Char"/>
    <w:uiPriority w:val="99"/>
    <w:qFormat/>
  </w:style>
  <w:style w:type="table" w:styleId="791" w:customStyle="1">
    <w:name w:val="Table Grid Light"/>
    <w:basedOn w:val="6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92" w:customStyle="1">
    <w:name w:val="无格式表格 11"/>
    <w:basedOn w:val="6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网格表 1 浅色1"/>
    <w:basedOn w:val="69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8" w:customStyle="1">
    <w:name w:val="Grid Table 1 Light - Accent 1"/>
    <w:basedOn w:val="69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9" w:customStyle="1">
    <w:name w:val="Grid Table 1 Light - Accent 2"/>
    <w:basedOn w:val="69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Grid Table 1 Light - Accent 3"/>
    <w:basedOn w:val="69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A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1" w:customStyle="1">
    <w:name w:val="Grid Table 1 Light - Accent 4"/>
    <w:basedOn w:val="69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Grid Table 1 Light - Accent 5"/>
    <w:basedOn w:val="69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3" w:customStyle="1">
    <w:name w:val="Grid Table 1 Light - Accent 6"/>
    <w:basedOn w:val="69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4" w:customStyle="1">
    <w:name w:val="网格表 21"/>
    <w:basedOn w:val="69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2 - Accent 1"/>
    <w:basedOn w:val="69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2 - Accent 2"/>
    <w:basedOn w:val="691"/>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2 - Accent 3"/>
    <w:basedOn w:val="691"/>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2 - Accent 4"/>
    <w:basedOn w:val="69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2 - Accent 5"/>
    <w:basedOn w:val="69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2 - Accent 6"/>
    <w:basedOn w:val="69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网格表 31"/>
    <w:basedOn w:val="69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3 - Accent 1"/>
    <w:basedOn w:val="69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3 - Accent 2"/>
    <w:basedOn w:val="691"/>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3 - Accent 3"/>
    <w:basedOn w:val="691"/>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3 - Accent 4"/>
    <w:basedOn w:val="69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3 - Accent 5"/>
    <w:basedOn w:val="69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3 - Accent 6"/>
    <w:basedOn w:val="69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网格表 41"/>
    <w:basedOn w:val="69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4 - Accent 1"/>
    <w:basedOn w:val="69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4 - Accent 2"/>
    <w:basedOn w:val="691"/>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4 - Accent 3"/>
    <w:basedOn w:val="691"/>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4 - Accent 4"/>
    <w:basedOn w:val="691"/>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4 - Accent 5"/>
    <w:basedOn w:val="691"/>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4 - Accent 6"/>
    <w:basedOn w:val="691"/>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网格表 5 深色1"/>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5 Dark- Accent 1"/>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5 Dark - Accent 2"/>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5 Dark - Accent 3"/>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5 Dark- Accent 4"/>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5 Dark - Accent 5"/>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5 Dark - Accent 6"/>
    <w:basedOn w:val="69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网格表 6 彩色1"/>
    <w:basedOn w:val="69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33" w:customStyle="1">
    <w:name w:val="Grid Table 6 Colorful - Accent 1"/>
    <w:basedOn w:val="691"/>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4"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834" w:customStyle="1">
    <w:name w:val="Grid Table 6 Colorful - Accent 2"/>
    <w:basedOn w:val="691"/>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blStylePr>
  </w:style>
  <w:style w:type="table" w:styleId="835" w:customStyle="1">
    <w:name w:val="Grid Table 6 Colorful - Accent 3"/>
    <w:basedOn w:val="691"/>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b/>
        <w:color w:val="f1b901"/>
      </w:rPr>
    </w:tblStylePr>
    <w:tblStylePr w:type="firstRow">
      <w:rPr>
        <w:b/>
        <w:color w:val="f1b901"/>
      </w:rPr>
      <w:tcPr>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f1b901"/>
      </w:rPr>
    </w:tblStylePr>
    <w:tblStylePr w:type="lastRow">
      <w:rPr>
        <w:b/>
        <w:color w:val="f1b901"/>
      </w:rPr>
    </w:tblStylePr>
  </w:style>
  <w:style w:type="table" w:styleId="836" w:customStyle="1">
    <w:name w:val="Grid Table 6 Colorful - Accent 4"/>
    <w:basedOn w:val="691"/>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blStylePr>
  </w:style>
  <w:style w:type="table" w:styleId="837" w:customStyle="1">
    <w:name w:val="Grid Table 6 Colorful - Accent 5"/>
    <w:basedOn w:val="691"/>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838" w:customStyle="1">
    <w:name w:val="Grid Table 6 Colorful - Accent 6"/>
    <w:basedOn w:val="691"/>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b6f68"/>
        <w:sz w:val="22"/>
      </w:rPr>
      <w:tcPr>
        <w:shd w:val="clear" w:color="f9dade" w:fill="f9dade"/>
      </w:tcPr>
    </w:tblStylePr>
    <w:tblStylePr w:type="band1Vert">
      <w:tcPr>
        <w:shd w:val="clear" w:color="f9dade" w:fill="f9dade"/>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839" w:customStyle="1">
    <w:name w:val="网格表 7 彩色1"/>
    <w:basedOn w:val="69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7 Colorful - Accent 1"/>
    <w:basedOn w:val="691"/>
    <w:uiPriority w:val="99"/>
    <w:qFormat/>
    <w:tblPr>
      <w:tblBorders>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insideH w:val="none" w:color="000000" w:sz="4" w:space="0"/>
          <w:insideV w:val="none" w:color="000000" w:sz="4" w:space="0"/>
        </w:tcBorders>
      </w:tcPr>
    </w:tblStylePr>
    <w:tblStylePr w:type="firstRow">
      <w:rPr>
        <w:rFonts w:ascii="Arial" w:hAnsi="Arial"/>
        <w:b/>
        <w:color w:val="a3b9e5"/>
        <w:sz w:val="22"/>
      </w:rPr>
      <w:tcPr>
        <w:shd w:val="clear" w:color="cce8cf" w:fill="cce8cf"/>
        <w:tcBorders>
          <w:top w:val="none" w:color="000000" w:sz="4" w:space="0"/>
          <w:left w:val="none" w:color="000000" w:sz="4" w:space="0"/>
          <w:bottom w:val="single" w:color="A3B9E4"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cce8cf" w:fill="cce8cf"/>
        <w:tcBorders>
          <w:top w:val="single" w:color="A3B9E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7 Colorful - Accent 2"/>
    <w:basedOn w:val="691"/>
    <w:uiPriority w:val="99"/>
    <w:qFormat/>
    <w:tblPr>
      <w:tblBorders>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b/>
        <w:color w:val="f4b584"/>
        <w:sz w:val="22"/>
      </w:rPr>
      <w:tcPr>
        <w:shd w:val="clear" w:color="cce8cf" w:fill="cce8c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4b584"/>
        <w:sz w:val="22"/>
      </w:rPr>
      <w:tcPr>
        <w:shd w:val="clear" w:color="cce8cf" w:fill="cce8c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7 Colorful - Accent 3"/>
    <w:basedOn w:val="691"/>
    <w:uiPriority w:val="99"/>
    <w:qFormat/>
    <w:tblPr>
      <w:tblBorders>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rFonts w:ascii="Arial" w:hAnsi="Arial"/>
        <w:i/>
        <w:color w:val="f1b901"/>
        <w:sz w:val="22"/>
      </w:rPr>
      <w:pPr>
        <w:jc w:val="right"/>
      </w:pPr>
      <w:tcPr>
        <w:shd w:val="clear" w:color="ffffff" w:fill="auto"/>
        <w:tcBorders>
          <w:top w:val="none" w:color="000000" w:sz="4" w:space="0"/>
          <w:left w:val="none" w:color="000000" w:sz="4" w:space="0"/>
          <w:bottom w:val="none" w:color="000000" w:sz="4" w:space="0"/>
          <w:right w:val="single" w:color="F3BA02" w:sz="4" w:space="0"/>
          <w:insideH w:val="none" w:color="000000" w:sz="4" w:space="0"/>
          <w:insideV w:val="none" w:color="000000" w:sz="4" w:space="0"/>
        </w:tcBorders>
      </w:tcPr>
    </w:tblStylePr>
    <w:tblStylePr w:type="firstRow">
      <w:rPr>
        <w:rFonts w:ascii="Arial" w:hAnsi="Arial"/>
        <w:b/>
        <w:color w:val="f1b901"/>
        <w:sz w:val="22"/>
      </w:rPr>
      <w:tcPr>
        <w:shd w:val="clear" w:color="cce8cf" w:fill="cce8cf"/>
        <w:tcBorders>
          <w:top w:val="none" w:color="000000" w:sz="4" w:space="0"/>
          <w:left w:val="none" w:color="000000" w:sz="4" w:space="0"/>
          <w:bottom w:val="single" w:color="F3BA02" w:sz="4" w:space="0"/>
          <w:right w:val="none" w:color="000000" w:sz="4" w:space="0"/>
          <w:insideH w:val="none" w:color="000000" w:sz="4" w:space="0"/>
          <w:insideV w:val="none" w:color="000000" w:sz="4" w:space="0"/>
        </w:tcBorders>
      </w:tcPr>
    </w:tblStylePr>
    <w:tblStylePr w:type="lastCol">
      <w:rPr>
        <w:rFonts w:ascii="Arial" w:hAnsi="Arial"/>
        <w:i/>
        <w:color w:val="f1b901"/>
        <w:sz w:val="22"/>
      </w:rPr>
      <w:tcPr>
        <w:shd w:val="clear" w:color="ffffff" w:fill="auto"/>
        <w:tcBorders>
          <w:top w:val="none" w:color="000000" w:sz="4" w:space="0"/>
          <w:left w:val="single" w:color="F3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1b901"/>
        <w:sz w:val="22"/>
      </w:rPr>
      <w:tcPr>
        <w:shd w:val="clear" w:color="cce8cf" w:fill="cce8cf"/>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7 Colorful - Accent 4"/>
    <w:basedOn w:val="691"/>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cd78d"/>
        <w:sz w:val="22"/>
      </w:rPr>
      <w:tcPr>
        <w:shd w:val="clear" w:color="cce8cf" w:fill="cce8c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cd78d"/>
        <w:sz w:val="22"/>
      </w:rPr>
      <w:tcPr>
        <w:shd w:val="clear" w:color="cce8cf" w:fill="cce8c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7 Colorful - Accent 5"/>
    <w:basedOn w:val="691"/>
    <w:uiPriority w:val="99"/>
    <w:qFormat/>
    <w:tblPr>
      <w:tblBorders>
        <w:bottom w:val="single" w:color="85E0D8" w:sz="4" w:space="0"/>
        <w:right w:val="single" w:color="85E0D8" w:sz="4" w:space="0"/>
        <w:insideH w:val="single" w:color="85E0D8" w:sz="4" w:space="0"/>
        <w:insideV w:val="single" w:color="85E0D8"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rFonts w:ascii="Arial" w:hAnsi="Arial"/>
        <w:i/>
        <w:color w:val="1b6f68"/>
        <w:sz w:val="22"/>
      </w:rPr>
      <w:pPr>
        <w:jc w:val="right"/>
      </w:pPr>
      <w:tcPr>
        <w:shd w:val="clear" w:color="ffffff" w:fill="auto"/>
        <w:tcBorders>
          <w:top w:val="none" w:color="000000" w:sz="4" w:space="0"/>
          <w:left w:val="none" w:color="000000" w:sz="4" w:space="0"/>
          <w:bottom w:val="none" w:color="000000" w:sz="4" w:space="0"/>
          <w:right w:val="single" w:color="85E0D8" w:sz="4" w:space="0"/>
          <w:insideH w:val="none" w:color="000000" w:sz="4" w:space="0"/>
          <w:insideV w:val="none" w:color="000000" w:sz="4" w:space="0"/>
        </w:tcBorders>
      </w:tcPr>
    </w:tblStylePr>
    <w:tblStylePr w:type="firstRow">
      <w:rPr>
        <w:rFonts w:ascii="Arial" w:hAnsi="Arial"/>
        <w:b/>
        <w:color w:val="1b6f68"/>
        <w:sz w:val="22"/>
      </w:rPr>
      <w:tcPr>
        <w:shd w:val="clear" w:color="cce8cf" w:fill="cce8cf"/>
        <w:tcBorders>
          <w:top w:val="none" w:color="000000"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i/>
        <w:color w:val="1b6f68"/>
        <w:sz w:val="22"/>
      </w:rPr>
      <w:tcPr>
        <w:shd w:val="clear" w:color="ffffff" w:fill="auto"/>
        <w:tcBorders>
          <w:top w:val="none" w:color="000000" w:sz="4" w:space="0"/>
          <w:left w:val="single" w:color="85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b6f68"/>
        <w:sz w:val="22"/>
      </w:rPr>
      <w:tcPr>
        <w:shd w:val="clear" w:color="cce8cf" w:fill="cce8cf"/>
        <w:tcBorders>
          <w:top w:val="single" w:color="85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7 Colorful - Accent 6"/>
    <w:basedOn w:val="691"/>
    <w:uiPriority w:val="99"/>
    <w:qFormat/>
    <w:tblPr>
      <w:tblBorders>
        <w:bottom w:val="single" w:color="F099A4" w:sz="4" w:space="0"/>
        <w:right w:val="single" w:color="F099A4" w:sz="4" w:space="0"/>
        <w:insideH w:val="single" w:color="F099A4" w:sz="4" w:space="0"/>
        <w:insideV w:val="single" w:color="F099A4" w:sz="4" w:space="0"/>
      </w:tblBorders>
    </w:tblPr>
    <w:tblStylePr w:type="band1Horz">
      <w:rPr>
        <w:rFonts w:ascii="Arial" w:hAnsi="Arial"/>
        <w:color w:val="9a1625"/>
        <w:sz w:val="22"/>
      </w:rPr>
      <w:tcPr>
        <w:shd w:val="clear" w:color="f9dade" w:fill="f9dade"/>
      </w:tcPr>
    </w:tblStylePr>
    <w:tblStylePr w:type="band1Vert">
      <w:tcPr>
        <w:shd w:val="clear" w:color="f9dade" w:fill="f9dade"/>
      </w:tcPr>
    </w:tblStylePr>
    <w:tblStylePr w:type="band2Horz">
      <w:rPr>
        <w:rFonts w:ascii="Arial" w:hAnsi="Arial"/>
        <w:color w:val="9a1625"/>
        <w:sz w:val="22"/>
      </w:rPr>
    </w:tblStylePr>
    <w:tblStylePr w:type="firstCol">
      <w:rPr>
        <w:rFonts w:ascii="Arial" w:hAnsi="Arial"/>
        <w:i/>
        <w:color w:val="9a1625"/>
        <w:sz w:val="22"/>
      </w:rPr>
      <w:pPr>
        <w:jc w:val="right"/>
      </w:pPr>
      <w:tcPr>
        <w:shd w:val="clear" w:color="ffffff" w:fill="auto"/>
        <w:tcBorders>
          <w:top w:val="none" w:color="000000" w:sz="4" w:space="0"/>
          <w:left w:val="none" w:color="000000" w:sz="4" w:space="0"/>
          <w:bottom w:val="none" w:color="000000" w:sz="4" w:space="0"/>
          <w:right w:val="single" w:color="F099A4" w:sz="4" w:space="0"/>
          <w:insideH w:val="none" w:color="000000" w:sz="4" w:space="0"/>
          <w:insideV w:val="none" w:color="000000" w:sz="4" w:space="0"/>
        </w:tcBorders>
      </w:tcPr>
    </w:tblStylePr>
    <w:tblStylePr w:type="firstRow">
      <w:rPr>
        <w:rFonts w:ascii="Arial" w:hAnsi="Arial"/>
        <w:b/>
        <w:color w:val="9a1625"/>
        <w:sz w:val="22"/>
      </w:rPr>
      <w:tcPr>
        <w:shd w:val="clear" w:color="cce8cf" w:fill="cce8cf"/>
        <w:tcBorders>
          <w:top w:val="none" w:color="000000"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i/>
        <w:color w:val="9a1625"/>
        <w:sz w:val="22"/>
      </w:rPr>
      <w:tcPr>
        <w:shd w:val="clear" w:color="ffffff" w:fill="auto"/>
        <w:tcBorders>
          <w:top w:val="none" w:color="000000" w:sz="4" w:space="0"/>
          <w:left w:val="single" w:color="F099A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1625"/>
        <w:sz w:val="22"/>
      </w:rPr>
      <w:tcPr>
        <w:shd w:val="clear" w:color="cce8cf" w:fill="cce8cf"/>
        <w:tcBorders>
          <w:top w:val="single" w:color="F099A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清单表 1 浅色1"/>
    <w:basedOn w:val="69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1 Light - Accent 1"/>
    <w:basedOn w:val="691"/>
    <w:uiPriority w:val="99"/>
    <w:qFormat/>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1 Light - Accent 2"/>
    <w:basedOn w:val="691"/>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1 Light - Accent 3"/>
    <w:basedOn w:val="691"/>
    <w:uiPriority w:val="99"/>
    <w:qFormat/>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1 Light - Accent 4"/>
    <w:basedOn w:val="691"/>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1 Light - Accent 5"/>
    <w:basedOn w:val="691"/>
    <w:uiPriority w:val="99"/>
    <w:qFormat/>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1 Light - Accent 6"/>
    <w:basedOn w:val="691"/>
    <w:uiPriority w:val="99"/>
    <w:qFormat/>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清单表 21"/>
    <w:basedOn w:val="69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54" w:customStyle="1">
    <w:name w:val="List Table 2 - Accent 1"/>
    <w:basedOn w:val="691"/>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55" w:customStyle="1">
    <w:name w:val="List Table 2 - Accent 2"/>
    <w:basedOn w:val="691"/>
    <w:uiPriority w:val="99"/>
    <w:qFormat/>
    <w:tblPr>
      <w:tblBorders>
        <w:top w:val="single" w:color="F5B889" w:sz="4" w:space="0"/>
        <w:bottom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style>
  <w:style w:type="table" w:styleId="856" w:customStyle="1">
    <w:name w:val="List Table 2 - Accent 3"/>
    <w:basedOn w:val="691"/>
    <w:uiPriority w:val="99"/>
    <w:qFormat/>
    <w:tblPr>
      <w:tblBorders>
        <w:top w:val="single" w:color="FDDB6A" w:sz="4" w:space="0"/>
        <w:bottom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style>
  <w:style w:type="table" w:styleId="857" w:customStyle="1">
    <w:name w:val="List Table 2 - Accent 4"/>
    <w:basedOn w:val="691"/>
    <w:uiPriority w:val="99"/>
    <w:qFormat/>
    <w:tblPr>
      <w:tblBorders>
        <w:top w:val="single" w:color="B1D994" w:sz="4" w:space="0"/>
        <w:bottom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style>
  <w:style w:type="table" w:styleId="858" w:customStyle="1">
    <w:name w:val="List Table 2 - Accent 5"/>
    <w:basedOn w:val="691"/>
    <w:uiPriority w:val="99"/>
    <w:qFormat/>
    <w:tblPr>
      <w:tblBorders>
        <w:top w:val="single" w:color="85E0D8" w:sz="4" w:space="0"/>
        <w:bottom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style>
  <w:style w:type="table" w:styleId="859" w:customStyle="1">
    <w:name w:val="List Table 2 - Accent 6"/>
    <w:basedOn w:val="691"/>
    <w:uiPriority w:val="99"/>
    <w:qFormat/>
    <w:tblPr>
      <w:tblBorders>
        <w:top w:val="single" w:color="F099A4" w:sz="4" w:space="0"/>
        <w:bottom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style>
  <w:style w:type="table" w:styleId="860" w:customStyle="1">
    <w:name w:val="清单表 31"/>
    <w:basedOn w:val="69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1" w:customStyle="1">
    <w:name w:val="List Table 3 - Accent 1"/>
    <w:basedOn w:val="691"/>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2" w:customStyle="1">
    <w:name w:val="List Table 3 - Accent 2"/>
    <w:basedOn w:val="691"/>
    <w:uiPriority w:val="99"/>
    <w:qFormat/>
    <w:tblPr>
      <w:tblBorders>
        <w:top w:val="single" w:color="F4B483" w:sz="4" w:space="0"/>
        <w:left w:val="single" w:color="F4B483" w:sz="4" w:space="0"/>
        <w:bottom w:val="single" w:color="F4B483" w:sz="4" w:space="0"/>
        <w:right w:val="single" w:color="F4B483" w:sz="4" w:space="0"/>
      </w:tblBorders>
    </w:tblPr>
    <w:tblStylePr w:type="band1Horz">
      <w:rPr>
        <w:rFonts w:ascii="Arial" w:hAnsi="Arial"/>
        <w:color w:val="404040"/>
        <w:sz w:val="22"/>
      </w:rPr>
      <w:tcPr>
        <w:tcBorders>
          <w:top w:val="single" w:color="F4B483" w:sz="4" w:space="0"/>
          <w:left w:val="none" w:color="000000" w:sz="4" w:space="0"/>
          <w:bottom w:val="single" w:color="F4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4B483" w:sz="4" w:space="0"/>
          <w:bottom w:val="none" w:color="000000" w:sz="4" w:space="0"/>
          <w:right w:val="single" w:color="F4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63" w:customStyle="1">
    <w:name w:val="List Table 3 - Accent 3"/>
    <w:basedOn w:val="691"/>
    <w:uiPriority w:val="99"/>
    <w:qFormat/>
    <w:tblPr>
      <w:tblBorders>
        <w:top w:val="single" w:color="FDD961" w:sz="4" w:space="0"/>
        <w:left w:val="single" w:color="FDD961" w:sz="4" w:space="0"/>
        <w:bottom w:val="single" w:color="FDD961" w:sz="4" w:space="0"/>
        <w:right w:val="single" w:color="FDD961" w:sz="4" w:space="0"/>
      </w:tblBorders>
    </w:tblPr>
    <w:tblStylePr w:type="band1Horz">
      <w:rPr>
        <w:rFonts w:ascii="Arial" w:hAnsi="Arial"/>
        <w:color w:val="404040"/>
        <w:sz w:val="22"/>
      </w:rPr>
      <w:tcPr>
        <w:tcBorders>
          <w:top w:val="single" w:color="FDD961" w:sz="4" w:space="0"/>
          <w:left w:val="none" w:color="000000" w:sz="4" w:space="0"/>
          <w:bottom w:val="single" w:color="FDD9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961" w:sz="4" w:space="0"/>
          <w:bottom w:val="none" w:color="000000" w:sz="4" w:space="0"/>
          <w:right w:val="single" w:color="FDD9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64" w:customStyle="1">
    <w:name w:val="List Table 3 - Accent 4"/>
    <w:basedOn w:val="691"/>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65" w:customStyle="1">
    <w:name w:val="List Table 3 - Accent 5"/>
    <w:basedOn w:val="691"/>
    <w:uiPriority w:val="99"/>
    <w:qFormat/>
    <w:tblPr>
      <w:tblBorders>
        <w:top w:val="single" w:color="7CDED6" w:sz="4" w:space="0"/>
        <w:left w:val="single" w:color="7CDED6" w:sz="4" w:space="0"/>
        <w:bottom w:val="single" w:color="7CDED6" w:sz="4" w:space="0"/>
        <w:right w:val="single" w:color="7CDED6" w:sz="4" w:space="0"/>
      </w:tblBorders>
    </w:tblPr>
    <w:tblStylePr w:type="band1Horz">
      <w:rPr>
        <w:rFonts w:ascii="Arial" w:hAnsi="Arial"/>
        <w:color w:val="404040"/>
        <w:sz w:val="22"/>
      </w:rPr>
      <w:tcPr>
        <w:tcBorders>
          <w:top w:val="single" w:color="7CDED6" w:sz="4" w:space="0"/>
          <w:left w:val="none" w:color="000000" w:sz="4" w:space="0"/>
          <w:bottom w:val="single" w:color="7CDED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6" w:sz="4" w:space="0"/>
          <w:bottom w:val="none" w:color="000000" w:sz="4" w:space="0"/>
          <w:right w:val="single" w:color="7CDED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66" w:customStyle="1">
    <w:name w:val="List Table 3 - Accent 6"/>
    <w:basedOn w:val="691"/>
    <w:uiPriority w:val="99"/>
    <w:qFormat/>
    <w:tblPr>
      <w:tblBorders>
        <w:top w:val="single" w:color="EF949F" w:sz="4" w:space="0"/>
        <w:left w:val="single" w:color="EF949F" w:sz="4" w:space="0"/>
        <w:bottom w:val="single" w:color="EF949F" w:sz="4" w:space="0"/>
        <w:right w:val="single" w:color="EF949F" w:sz="4" w:space="0"/>
      </w:tblBorders>
    </w:tblPr>
    <w:tblStylePr w:type="band1Horz">
      <w:rPr>
        <w:rFonts w:ascii="Arial" w:hAnsi="Arial"/>
        <w:color w:val="404040"/>
        <w:sz w:val="22"/>
      </w:rPr>
      <w:tcPr>
        <w:tcBorders>
          <w:top w:val="single" w:color="EF949F" w:sz="4" w:space="0"/>
          <w:left w:val="none" w:color="000000" w:sz="4" w:space="0"/>
          <w:bottom w:val="single" w:color="EF949F"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F" w:sz="4" w:space="0"/>
          <w:bottom w:val="none" w:color="000000" w:sz="4" w:space="0"/>
          <w:right w:val="single" w:color="EF949F"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67" w:customStyle="1">
    <w:name w:val="清单表 41"/>
    <w:basedOn w:val="69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4 - Accent 1"/>
    <w:basedOn w:val="69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9" w:customStyle="1">
    <w:name w:val="List Table 4 - Accent 2"/>
    <w:basedOn w:val="691"/>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70" w:customStyle="1">
    <w:name w:val="List Table 4 - Accent 3"/>
    <w:basedOn w:val="691"/>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71" w:customStyle="1">
    <w:name w:val="List Table 4 - Accent 4"/>
    <w:basedOn w:val="691"/>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2" w:customStyle="1">
    <w:name w:val="List Table 4 - Accent 5"/>
    <w:basedOn w:val="691"/>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73" w:customStyle="1">
    <w:name w:val="List Table 4 - Accent 6"/>
    <w:basedOn w:val="691"/>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74" w:customStyle="1">
    <w:name w:val="清单表 5 深色1"/>
    <w:basedOn w:val="69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7E7E7E"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7e7e7e" w:fill="7e7e7e"/>
        <w:tcBorders>
          <w:top w:val="single" w:color="7E7E7E"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cce8cf"/>
        <w:sz w:val="22"/>
      </w:rPr>
    </w:tblStylePr>
  </w:style>
  <w:style w:type="table" w:styleId="875" w:customStyle="1">
    <w:name w:val="List Table 5 Dark - Accent 1"/>
    <w:basedOn w:val="691"/>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4874cb" w:fill="4874cb"/>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4874CB"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4874cb" w:fill="4874cb"/>
        <w:tcBorders>
          <w:top w:val="single" w:color="4874CB"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cce8cf"/>
        <w:sz w:val="22"/>
      </w:rPr>
    </w:tblStylePr>
  </w:style>
  <w:style w:type="table" w:styleId="876" w:customStyle="1">
    <w:name w:val="List Table 5 Dark - Accent 2"/>
    <w:basedOn w:val="691"/>
    <w:uiPriority w:val="99"/>
    <w:qFormat/>
    <w:tblPr>
      <w:tblBorders>
        <w:top w:val="single" w:color="F4B483" w:sz="32" w:space="0"/>
        <w:left w:val="single" w:color="F4B483" w:sz="32" w:space="0"/>
        <w:bottom w:val="single" w:color="F4B483" w:sz="32" w:space="0"/>
        <w:right w:val="single" w:color="F4B483" w:sz="32" w:space="0"/>
      </w:tblBorders>
    </w:tblPr>
    <w:tblStylePr w:type="band1Horz">
      <w:tcPr>
        <w:shd w:val="clear" w:color="f4b483" w:fill="f4b483"/>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f4b483" w:fill="f4b483"/>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f4b483" w:fill="f4b483"/>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F4B483"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f4b483" w:fill="f4b483"/>
        <w:tcBorders>
          <w:top w:val="single" w:color="F4B483"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F4B483" w:sz="32" w:space="0"/>
          <w:insideH w:val="none" w:color="000000" w:sz="4" w:space="0"/>
          <w:insideV w:val="none" w:color="000000" w:sz="4" w:space="0"/>
        </w:tcBorders>
      </w:tcPr>
    </w:tblStylePr>
    <w:tblStylePr w:type="lastRow">
      <w:rPr>
        <w:rFonts w:ascii="Arial" w:hAnsi="Arial"/>
        <w:b/>
        <w:color w:val="cce8cf"/>
        <w:sz w:val="22"/>
      </w:rPr>
    </w:tblStylePr>
  </w:style>
  <w:style w:type="table" w:styleId="877" w:customStyle="1">
    <w:name w:val="List Table 5 Dark - Accent 3"/>
    <w:basedOn w:val="691"/>
    <w:uiPriority w:val="99"/>
    <w:qFormat/>
    <w:tblPr>
      <w:tblBorders>
        <w:top w:val="single" w:color="FDD961" w:sz="32" w:space="0"/>
        <w:left w:val="single" w:color="FDD961" w:sz="32" w:space="0"/>
        <w:bottom w:val="single" w:color="FDD961" w:sz="32" w:space="0"/>
        <w:right w:val="single" w:color="FDD961" w:sz="32" w:space="0"/>
      </w:tblBorders>
    </w:tblPr>
    <w:tblStylePr w:type="band1Horz">
      <w:tcPr>
        <w:shd w:val="clear" w:color="fdd961" w:fill="fdd961"/>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fdd961" w:fill="fdd961"/>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fdd961" w:fill="fdd961"/>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FDD961"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fdd961" w:fill="fdd961"/>
        <w:tcBorders>
          <w:top w:val="single" w:color="FDD961"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FDD961" w:sz="32" w:space="0"/>
          <w:insideH w:val="none" w:color="000000" w:sz="4" w:space="0"/>
          <w:insideV w:val="none" w:color="000000" w:sz="4" w:space="0"/>
        </w:tcBorders>
      </w:tcPr>
    </w:tblStylePr>
    <w:tblStylePr w:type="lastRow">
      <w:rPr>
        <w:rFonts w:ascii="Arial" w:hAnsi="Arial"/>
        <w:b/>
        <w:color w:val="cce8cf"/>
        <w:sz w:val="22"/>
      </w:rPr>
    </w:tblStylePr>
  </w:style>
  <w:style w:type="table" w:styleId="878" w:customStyle="1">
    <w:name w:val="List Table 5 Dark - Accent 4"/>
    <w:basedOn w:val="691"/>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abd78c" w:fill="abd78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ABD78C"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abd78c" w:fill="abd78c"/>
        <w:tcBorders>
          <w:top w:val="single" w:color="ABD78C"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cce8cf"/>
        <w:sz w:val="22"/>
      </w:rPr>
    </w:tblStylePr>
  </w:style>
  <w:style w:type="table" w:styleId="879" w:customStyle="1">
    <w:name w:val="List Table 5 Dark - Accent 5"/>
    <w:basedOn w:val="691"/>
    <w:uiPriority w:val="99"/>
    <w:qFormat/>
    <w:tblPr>
      <w:tblBorders>
        <w:top w:val="single" w:color="7CDED6" w:sz="32" w:space="0"/>
        <w:left w:val="single" w:color="7CDED6" w:sz="32" w:space="0"/>
        <w:bottom w:val="single" w:color="7CDED6" w:sz="32" w:space="0"/>
        <w:right w:val="single" w:color="7CDED6" w:sz="32" w:space="0"/>
      </w:tblBorders>
    </w:tblPr>
    <w:tblStylePr w:type="band1Horz">
      <w:tcPr>
        <w:shd w:val="clear" w:color="7cded6" w:fill="7cded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7cded6" w:fill="7cded6"/>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7cded6" w:fill="7cded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7CDED6"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7cded6" w:fill="7cded6"/>
        <w:tcBorders>
          <w:top w:val="single" w:color="7CDED6"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7CDED6" w:sz="32" w:space="0"/>
          <w:insideH w:val="none" w:color="000000" w:sz="4" w:space="0"/>
          <w:insideV w:val="none" w:color="000000" w:sz="4" w:space="0"/>
        </w:tcBorders>
      </w:tcPr>
    </w:tblStylePr>
    <w:tblStylePr w:type="lastRow">
      <w:rPr>
        <w:rFonts w:ascii="Arial" w:hAnsi="Arial"/>
        <w:b/>
        <w:color w:val="cce8cf"/>
        <w:sz w:val="22"/>
      </w:rPr>
    </w:tblStylePr>
  </w:style>
  <w:style w:type="table" w:styleId="880" w:customStyle="1">
    <w:name w:val="List Table 5 Dark - Accent 6"/>
    <w:basedOn w:val="691"/>
    <w:uiPriority w:val="99"/>
    <w:qFormat/>
    <w:tblPr>
      <w:tblBorders>
        <w:top w:val="single" w:color="EF949F" w:sz="32" w:space="0"/>
        <w:left w:val="single" w:color="EF949F" w:sz="32" w:space="0"/>
        <w:bottom w:val="single" w:color="EF949F" w:sz="32" w:space="0"/>
        <w:right w:val="single" w:color="EF949F" w:sz="32" w:space="0"/>
      </w:tblBorders>
    </w:tblPr>
    <w:tblStylePr w:type="band1Horz">
      <w:tcPr>
        <w:shd w:val="clear" w:color="ef949f" w:fill="ef949f"/>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ef949f" w:fill="ef949f"/>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ef949f" w:fill="ef949f"/>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EF949F"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ef949f" w:fill="ef949f"/>
        <w:tcBorders>
          <w:top w:val="single" w:color="EF949F"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EF949F" w:sz="32" w:space="0"/>
          <w:insideH w:val="none" w:color="000000" w:sz="4" w:space="0"/>
          <w:insideV w:val="none" w:color="000000" w:sz="4" w:space="0"/>
        </w:tcBorders>
      </w:tcPr>
    </w:tblStylePr>
    <w:tblStylePr w:type="lastRow">
      <w:rPr>
        <w:rFonts w:ascii="Arial" w:hAnsi="Arial"/>
        <w:b/>
        <w:color w:val="cce8cf"/>
        <w:sz w:val="22"/>
      </w:rPr>
    </w:tblStylePr>
  </w:style>
  <w:style w:type="table" w:styleId="881" w:customStyle="1">
    <w:name w:val="清单表 6 彩色1"/>
    <w:basedOn w:val="69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6 Colorful - Accent 1"/>
    <w:basedOn w:val="691"/>
    <w:uiPriority w:val="99"/>
    <w:qFormat/>
    <w:tblPr>
      <w:tblBorders>
        <w:top w:val="single" w:color="4874CB" w:sz="4" w:space="0"/>
        <w:bottom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c"/>
      </w:rPr>
    </w:tblStylePr>
    <w:tblStylePr w:type="lastRow">
      <w:rPr>
        <w:b/>
        <w:color w:val="2341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6 Colorful - Accent 2"/>
    <w:basedOn w:val="691"/>
    <w:uiPriority w:val="99"/>
    <w:qFormat/>
    <w:tblPr>
      <w:tblBorders>
        <w:top w:val="single" w:color="F4B483" w:sz="4" w:space="0"/>
        <w:bottom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6 Colorful - Accent 3"/>
    <w:basedOn w:val="691"/>
    <w:uiPriority w:val="99"/>
    <w:qFormat/>
    <w:tblPr>
      <w:tblBorders>
        <w:top w:val="single" w:color="FDD961" w:sz="4" w:space="0"/>
        <w:bottom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b/>
        <w:color w:val="fdd960"/>
      </w:rPr>
    </w:tblStylePr>
    <w:tblStylePr w:type="lastRow">
      <w:rPr>
        <w:b/>
        <w:color w:val="fdd960"/>
      </w:rPr>
      <w:tcPr>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6 Colorful - Accent 4"/>
    <w:basedOn w:val="691"/>
    <w:uiPriority w:val="99"/>
    <w:qFormat/>
    <w:tblPr>
      <w:tblBorders>
        <w:top w:val="single" w:color="ABD78C" w:sz="4" w:space="0"/>
        <w:bottom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6 Colorful - Accent 5"/>
    <w:basedOn w:val="691"/>
    <w:uiPriority w:val="99"/>
    <w:qFormat/>
    <w:tblPr>
      <w:tblBorders>
        <w:top w:val="single" w:color="7CDED6" w:sz="4" w:space="0"/>
        <w:bottom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b/>
        <w:color w:val="7dded6"/>
      </w:rPr>
    </w:tblStylePr>
    <w:tblStylePr w:type="lastRow">
      <w:rPr>
        <w:b/>
        <w:color w:val="7dded6"/>
      </w:rPr>
      <w:tcPr>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6 Colorful - Accent 6"/>
    <w:basedOn w:val="691"/>
    <w:uiPriority w:val="99"/>
    <w:qFormat/>
    <w:tblPr>
      <w:tblBorders>
        <w:top w:val="single" w:color="EF949F" w:sz="4" w:space="0"/>
        <w:bottom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b/>
        <w:color w:val="ef939e"/>
      </w:rPr>
    </w:tblStylePr>
    <w:tblStylePr w:type="lastRow">
      <w:rPr>
        <w:b/>
        <w:color w:val="ef939e"/>
      </w:rPr>
      <w:tcPr>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清单表 7 彩色1"/>
    <w:basedOn w:val="69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7 Colorful - Accent 1"/>
    <w:basedOn w:val="691"/>
    <w:uiPriority w:val="99"/>
    <w:qFormat/>
    <w:tblPr>
      <w:tblBorders>
        <w:right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c"/>
        <w:sz w:val="22"/>
      </w:rPr>
      <w:tcPr>
        <w:shd w:val="clear" w:color="cce8cf" w:fill="cce8c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c"/>
        <w:sz w:val="22"/>
      </w:rPr>
      <w:tcPr>
        <w:shd w:val="clear" w:color="cce8cf" w:fill="cce8c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7 Colorful - Accent 2"/>
    <w:basedOn w:val="691"/>
    <w:uiPriority w:val="99"/>
    <w:qFormat/>
    <w:tblPr>
      <w:tblBorders>
        <w:right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i/>
        <w:color w:val="f4b584"/>
        <w:sz w:val="22"/>
      </w:rPr>
      <w:tcPr>
        <w:shd w:val="clear" w:color="cce8cf" w:fill="cce8c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4b584"/>
        <w:sz w:val="22"/>
      </w:rPr>
      <w:tcPr>
        <w:shd w:val="clear" w:color="cce8cf" w:fill="cce8c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7 Colorful - Accent 3"/>
    <w:basedOn w:val="691"/>
    <w:uiPriority w:val="99"/>
    <w:qFormat/>
    <w:tblPr>
      <w:tblBorders>
        <w:right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insideH w:val="none" w:color="000000" w:sz="4" w:space="0"/>
          <w:insideV w:val="none" w:color="000000" w:sz="4" w:space="0"/>
        </w:tcBorders>
      </w:tcPr>
    </w:tblStylePr>
    <w:tblStylePr w:type="firstRow">
      <w:rPr>
        <w:rFonts w:ascii="Arial" w:hAnsi="Arial"/>
        <w:i/>
        <w:color w:val="fdd960"/>
        <w:sz w:val="22"/>
      </w:rPr>
      <w:tcPr>
        <w:shd w:val="clear" w:color="cce8cf" w:fill="cce8cf"/>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960"/>
        <w:sz w:val="22"/>
      </w:rPr>
      <w:tcPr>
        <w:shd w:val="clear" w:color="cce8cf" w:fill="cce8cf"/>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7 Colorful - Accent 4"/>
    <w:basedOn w:val="691"/>
    <w:uiPriority w:val="99"/>
    <w:qFormat/>
    <w:tblPr>
      <w:tblBorders>
        <w:right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cd78d"/>
        <w:sz w:val="22"/>
      </w:rPr>
      <w:tcPr>
        <w:shd w:val="clear" w:color="cce8cf" w:fill="cce8c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cd78d"/>
        <w:sz w:val="22"/>
      </w:rPr>
      <w:tcPr>
        <w:shd w:val="clear" w:color="cce8cf" w:fill="cce8c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7 Colorful - Accent 5"/>
    <w:basedOn w:val="691"/>
    <w:uiPriority w:val="99"/>
    <w:qFormat/>
    <w:tblPr>
      <w:tblBorders>
        <w:right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insideH w:val="none" w:color="000000" w:sz="4" w:space="0"/>
          <w:insideV w:val="none" w:color="000000" w:sz="4" w:space="0"/>
        </w:tcBorders>
      </w:tcPr>
    </w:tblStylePr>
    <w:tblStylePr w:type="firstRow">
      <w:rPr>
        <w:rFonts w:ascii="Arial" w:hAnsi="Arial"/>
        <w:i/>
        <w:color w:val="7dded6"/>
        <w:sz w:val="22"/>
      </w:rPr>
      <w:tcPr>
        <w:shd w:val="clear" w:color="cce8cf" w:fill="cce8cf"/>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dded6"/>
        <w:sz w:val="22"/>
      </w:rPr>
      <w:tcPr>
        <w:shd w:val="clear" w:color="cce8cf" w:fill="cce8cf"/>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7 Colorful - Accent 6"/>
    <w:basedOn w:val="691"/>
    <w:uiPriority w:val="99"/>
    <w:qFormat/>
    <w:tblPr>
      <w:tblBorders>
        <w:right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insideH w:val="none" w:color="000000" w:sz="4" w:space="0"/>
          <w:insideV w:val="none" w:color="000000" w:sz="4" w:space="0"/>
        </w:tcBorders>
      </w:tcPr>
    </w:tblStylePr>
    <w:tblStylePr w:type="firstRow">
      <w:rPr>
        <w:rFonts w:ascii="Arial" w:hAnsi="Arial"/>
        <w:i/>
        <w:color w:val="ef939e"/>
        <w:sz w:val="22"/>
      </w:rPr>
      <w:tcPr>
        <w:shd w:val="clear" w:color="cce8cf" w:fill="cce8cf"/>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39e"/>
        <w:sz w:val="22"/>
      </w:rPr>
      <w:tcPr>
        <w:shd w:val="clear" w:color="cce8cf" w:fill="cce8cf"/>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6"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97"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98"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99"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0"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1"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2" w:customStyle="1">
    <w:name w:val="Bordered &amp; Lined - Accent"/>
    <w:basedOn w:val="69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Bordered &amp; Lined - Accent 1"/>
    <w:basedOn w:val="691"/>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4" w:customStyle="1">
    <w:name w:val="Bordered &amp; Lined - Accent 2"/>
    <w:basedOn w:val="691"/>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05" w:customStyle="1">
    <w:name w:val="Bordered &amp; Lined - Accent 3"/>
    <w:basedOn w:val="691"/>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06" w:customStyle="1">
    <w:name w:val="Bordered &amp; Lined - Accent 4"/>
    <w:basedOn w:val="691"/>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7" w:customStyle="1">
    <w:name w:val="Bordered &amp; Lined - Accent 5"/>
    <w:basedOn w:val="691"/>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8" w:customStyle="1">
    <w:name w:val="Bordered &amp; Lined - Accent 6"/>
    <w:basedOn w:val="691"/>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9" w:customStyle="1">
    <w:name w:val="Bordered"/>
    <w:basedOn w:val="69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Bordered - Accent 1"/>
    <w:basedOn w:val="69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Bordered - Accent 2"/>
    <w:basedOn w:val="69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4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4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Bordered - Accent 3"/>
    <w:basedOn w:val="69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9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9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9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Bordered - Accent 4"/>
    <w:basedOn w:val="69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Bordered - Accent 5"/>
    <w:basedOn w:val="69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Bordered - Accent 6"/>
    <w:basedOn w:val="69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F"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6" w:customStyle="1">
    <w:name w:val="TOC 标题1"/>
    <w:uiPriority w:val="39"/>
    <w:unhideWhenUsed/>
    <w:qFormat/>
    <w:rPr>
      <w:rFonts w:hint="default" w:ascii="Calibri" w:hAnsi="Calibri" w:eastAsia="Arial" w:cs="Times New Roman"/>
      <w:lang w:val="en-US" w:eastAsia="zh-CN" w:bidi="ar-SA"/>
    </w:rPr>
  </w:style>
  <w:style w:type="paragraph" w:styleId="917" w:customStyle="1">
    <w:name w:val="索引 41"/>
    <w:basedOn w:val="680"/>
    <w:next w:val="680"/>
    <w:uiPriority w:val="99"/>
    <w:qFormat/>
    <w:pPr>
      <w:ind w:left="600"/>
    </w:pPr>
  </w:style>
  <w:style w:type="paragraph" w:styleId="918">
    <w:name w:val="List Paragraph"/>
    <w:basedOn w:val="680"/>
    <w:uiPriority w:val="34"/>
    <w:qFormat/>
    <w:pPr>
      <w:ind w:firstLine="420"/>
    </w:pPr>
    <w:rPr>
      <w:rFonts w:ascii="Calibri" w:hAnsi="Calibri"/>
      <w:szCs w:val="22"/>
    </w:rPr>
  </w:style>
  <w:style w:type="paragraph" w:styleId="919" w:customStyle="1">
    <w:name w:val="普通文字"/>
    <w:basedOn w:val="680"/>
    <w:next w:val="680"/>
    <w:uiPriority w:val="0"/>
    <w:qFormat/>
    <w:rPr>
      <w:rFonts w:ascii="宋体"/>
      <w:sz w:val="24"/>
    </w:rPr>
  </w:style>
  <w:style w:type="character" w:styleId="920" w:customStyle="1">
    <w:name w:val="font31"/>
    <w:basedOn w:val="690"/>
    <w:uiPriority w:val="0"/>
    <w:qFormat/>
    <w:rPr>
      <w:rFonts w:hint="eastAsia" w:ascii="宋体" w:hAnsi="宋体" w:eastAsia="宋体" w:cs="宋体"/>
      <w:color w:val="000000"/>
      <w:sz w:val="21"/>
      <w:szCs w:val="21"/>
      <w:u w:val="none"/>
    </w:rPr>
  </w:style>
  <w:style w:type="paragraph" w:styleId="92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22" w:customStyle="1">
    <w:name w:val="页眉11"/>
    <w:basedOn w:val="680"/>
    <w:uiPriority w:val="99"/>
    <w:qFormat/>
    <w:pPr>
      <w:jc w:val="center"/>
      <w:tabs>
        <w:tab w:val="center" w:pos="4153" w:leader="none"/>
        <w:tab w:val="right" w:pos="8306" w:leader="none"/>
      </w:tabs>
      <w:pBdr>
        <w:bottom w:val="single" w:color="000000" w:sz="6" w:space="1"/>
      </w:pBdr>
    </w:pPr>
    <w:rPr>
      <w:sz w:val="18"/>
      <w:szCs w:val="20"/>
    </w:rPr>
  </w:style>
  <w:style w:type="paragraph" w:styleId="923" w:customStyle="1">
    <w:name w:val="页脚11"/>
    <w:basedOn w:val="680"/>
    <w:next w:val="924"/>
    <w:uiPriority w:val="99"/>
    <w:qFormat/>
    <w:pPr>
      <w:jc w:val="left"/>
      <w:tabs>
        <w:tab w:val="center" w:pos="4153" w:leader="none"/>
        <w:tab w:val="right" w:pos="8306" w:leader="none"/>
      </w:tabs>
    </w:pPr>
    <w:rPr>
      <w:sz w:val="18"/>
      <w:szCs w:val="20"/>
    </w:rPr>
  </w:style>
  <w:style w:type="paragraph" w:styleId="924" w:customStyle="1">
    <w:name w:val="明显引用1"/>
    <w:next w:val="68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25" w:customStyle="1">
    <w:name w:val="普通(网站)11"/>
    <w:basedOn w:val="680"/>
    <w:uiPriority w:val="99"/>
    <w:unhideWhenUsed/>
    <w:qFormat/>
    <w:pPr>
      <w:jc w:val="left"/>
      <w:spacing w:before="100" w:beforeAutospacing="1" w:after="100" w:afterAutospacing="1"/>
      <w:widowControl/>
    </w:pPr>
    <w:rPr>
      <w:rFonts w:ascii="宋体" w:hAnsi="宋体" w:cs="宋体"/>
      <w:sz w:val="24"/>
    </w:rPr>
  </w:style>
  <w:style w:type="paragraph" w:styleId="926"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927" w:customStyle="1">
    <w:name w:val="批注文字 字符"/>
    <w:basedOn w:val="690"/>
    <w:link w:val="697"/>
    <w:uiPriority w:val="0"/>
    <w:qFormat/>
    <w:rPr>
      <w:sz w:val="21"/>
      <w:szCs w:val="24"/>
    </w:rPr>
  </w:style>
  <w:style w:type="character" w:styleId="928" w:customStyle="1">
    <w:name w:val="批注主题 字符"/>
    <w:basedOn w:val="927"/>
    <w:link w:val="720"/>
    <w:uiPriority w:val="99"/>
    <w:semiHidden/>
    <w:qFormat/>
    <w:rPr>
      <w:b/>
      <w:bCs/>
      <w:sz w:val="21"/>
      <w:szCs w:val="24"/>
    </w:rPr>
  </w:style>
  <w:style w:type="table" w:styleId="929" w:customStyle="1">
    <w:name w:val="Table Normal"/>
    <w:uiPriority w:val="0"/>
    <w:semiHidden/>
    <w:unhideWhenUsed/>
    <w:qFormat/>
    <w:tblPr>
      <w:tblCellMar>
        <w:left w:w="0" w:type="dxa"/>
        <w:top w:w="0" w:type="dxa"/>
        <w:right w:w="0" w:type="dxa"/>
        <w:bottom w:w="0" w:type="dxa"/>
      </w:tblCellMar>
    </w:tblPr>
  </w:style>
  <w:style w:type="paragraph" w:styleId="930" w:customStyle="1">
    <w:name w:val="Table Text"/>
    <w:basedOn w:val="680"/>
    <w:uiPriority w:val="0"/>
    <w:semiHidden/>
    <w:qFormat/>
    <w:rPr>
      <w:rFonts w:ascii="Arial" w:hAnsi="Arial" w:eastAsia="Arial" w:cs="Arial"/>
      <w:sz w:val="21"/>
      <w:szCs w:val="21"/>
      <w:lang w:val="en-US" w:eastAsia="en-US" w:bidi="ar-SA"/>
    </w:rPr>
  </w:style>
  <w:style w:type="paragraph" w:styleId="931" w:customStyle="1">
    <w:name w:val="纯文本1"/>
    <w:basedOn w:val="680"/>
    <w:uiPriority w:val="0"/>
    <w:qFormat/>
    <w:rPr>
      <w:rFonts w:ascii="宋体" w:hAnsi="Courier New"/>
      <w:szCs w:val="21"/>
    </w:rPr>
  </w:style>
  <w:style w:type="paragraph" w:styleId="932" w:customStyle="1">
    <w:name w:val="_Style 1"/>
    <w:basedOn w:val="680"/>
    <w:uiPriority w:val="0"/>
    <w:qFormat/>
    <w:pPr>
      <w:ind w:firstLine="420"/>
    </w:pPr>
    <w:rPr>
      <w:sz w:val="20"/>
    </w:rPr>
  </w:style>
  <w:style w:type="character" w:styleId="933" w:customStyle="1">
    <w:name w:val="NormalCharacter"/>
    <w:uiPriority w:val="0"/>
    <w:qFormat/>
  </w:style>
  <w:style w:type="paragraph" w:styleId="934" w:customStyle="1">
    <w:name w:val="列表段落1"/>
    <w:basedOn w:val="680"/>
    <w:uiPriority w:val="34"/>
    <w:qFormat/>
    <w:pPr>
      <w:ind w:firstLine="420"/>
    </w:pPr>
  </w:style>
  <w:style w:type="paragraph" w:styleId="935" w:customStyle="1">
    <w:name w:val="普通正文"/>
    <w:basedOn w:val="680"/>
    <w:uiPriority w:val="0"/>
    <w:qFormat/>
    <w:pPr>
      <w:ind w:firstLine="480"/>
      <w:jc w:val="left"/>
      <w:spacing w:before="120" w:after="120" w:line="360" w:lineRule="auto"/>
    </w:pPr>
    <w:rPr>
      <w:rFonts w:ascii="Arial" w:hAnsi="Arial"/>
      <w:sz w:val="24"/>
      <w:szCs w:val="24"/>
    </w:rPr>
  </w:style>
  <w:style w:type="numbering" w:styleId="14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跳跳糖</dc:creator>
  <cp:lastModifiedBy>蔡培芹</cp:lastModifiedBy>
  <cp:revision>19</cp:revision>
  <dcterms:created xsi:type="dcterms:W3CDTF">2024-08-05T03:28:00Z</dcterms:created>
  <dcterms:modified xsi:type="dcterms:W3CDTF">2026-07-02T01:16:52Z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75DAF1C20C2A4FA7B774829EF0B5F948_13</vt:lpwstr>
  </property>
  <property fmtid="{D5CDD505-2E9C-101B-9397-08002B2CF9AE}" pid="4" name="KSOTemplateDocerSaveRecord">
    <vt:lpwstr>eyJoZGlkIjoiZTYyZWNiN2JjMDhhNWM4ZDNjMGI4Y2ViYzU3Mjk2MDgiLCJ1c2VySWQiOiI1MTIzMzk3NjcifQ==</vt:lpwstr>
  </property>
</Properties>
</file>